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56A3" w14:textId="77777777" w:rsidR="008B75DC" w:rsidRPr="008B75DC" w:rsidRDefault="008B75DC" w:rsidP="008B75DC">
      <w:pPr>
        <w:jc w:val="center"/>
        <w:rPr>
          <w:b/>
          <w:bCs/>
        </w:rPr>
      </w:pPr>
      <w:r w:rsidRPr="008B75DC">
        <w:rPr>
          <w:b/>
          <w:bCs/>
        </w:rPr>
        <w:t>IBC Minutes for February 20, 2026</w:t>
      </w:r>
    </w:p>
    <w:p w14:paraId="255F568B" w14:textId="77777777" w:rsidR="008B75DC" w:rsidRDefault="008B75DC" w:rsidP="008B75DC"/>
    <w:p w14:paraId="33425A91" w14:textId="7802FAE0" w:rsidR="008B75DC" w:rsidRPr="008B75DC" w:rsidRDefault="008B75DC" w:rsidP="008B75DC">
      <w:r w:rsidRPr="008B75DC">
        <w:rPr>
          <w:b/>
          <w:bCs/>
        </w:rPr>
        <w:t>Location:</w:t>
      </w:r>
      <w:r w:rsidRPr="008B75DC">
        <w:t xml:space="preserve"> Virtual</w:t>
      </w:r>
    </w:p>
    <w:p w14:paraId="139939DB" w14:textId="77777777" w:rsidR="008B75DC" w:rsidRPr="008B75DC" w:rsidRDefault="008B75DC" w:rsidP="008B75DC">
      <w:r w:rsidRPr="008B75DC">
        <w:rPr>
          <w:b/>
          <w:bCs/>
        </w:rPr>
        <w:t>Total Voting Members 10; Quorum 6</w:t>
      </w:r>
    </w:p>
    <w:p w14:paraId="784D3D7A" w14:textId="77777777" w:rsidR="008B75DC" w:rsidRPr="008B75DC" w:rsidRDefault="008B75DC" w:rsidP="008B75DC">
      <w:r w:rsidRPr="008B75DC">
        <w:rPr>
          <w:b/>
          <w:bCs/>
        </w:rPr>
        <w:t>Members Present:</w:t>
      </w:r>
      <w:r w:rsidRPr="008B75DC">
        <w:t xml:space="preserve"> Ana Nobis, MD, MPH (PS), Antonios Hatzopoulos, PhD (OS), Cary Fu, M.D. (PS), Christopher Aiken, Ph.D. (OS), Donna Torr, PharmD (OS), Kimberly Towers, BS (NS), Richard DiTullio, PhD (OS), Rolinda Bailey, BSMT(ASCP) (NS)</w:t>
      </w:r>
    </w:p>
    <w:p w14:paraId="463C76FE" w14:textId="77777777" w:rsidR="008B75DC" w:rsidRPr="008B75DC" w:rsidRDefault="008B75DC" w:rsidP="008B75DC">
      <w:pPr>
        <w:rPr>
          <w:lang w:val="fr-FR"/>
        </w:rPr>
      </w:pPr>
      <w:r w:rsidRPr="008B75DC">
        <w:rPr>
          <w:b/>
          <w:bCs/>
          <w:lang w:val="fr-FR"/>
        </w:rPr>
        <w:t>Members Absent:</w:t>
      </w:r>
      <w:r w:rsidRPr="008B75DC">
        <w:rPr>
          <w:lang w:val="fr-FR"/>
        </w:rPr>
        <w:t xml:space="preserve"> Bipin Savani, M.D. (PS), Douglas Johnson, M.D., MSCI (PS)(COI), Paul Blair, MD, MDS (PS)</w:t>
      </w:r>
    </w:p>
    <w:p w14:paraId="18ADC9EA" w14:textId="77777777" w:rsidR="008B75DC" w:rsidRPr="008B75DC" w:rsidRDefault="008B75DC" w:rsidP="008B75DC">
      <w:r w:rsidRPr="008B75DC">
        <w:rPr>
          <w:b/>
          <w:bCs/>
        </w:rPr>
        <w:t>Ex-Officio Members Present:</w:t>
      </w:r>
    </w:p>
    <w:p w14:paraId="5E27CF1A" w14:textId="77777777" w:rsidR="008B75DC" w:rsidRPr="008B75DC" w:rsidRDefault="008B75DC" w:rsidP="008B75DC">
      <w:r w:rsidRPr="008B75DC">
        <w:rPr>
          <w:b/>
          <w:bCs/>
        </w:rPr>
        <w:t>Administrative Staff Present:</w:t>
      </w:r>
      <w:r w:rsidRPr="008B75DC">
        <w:t xml:space="preserve"> James Arrington, BA, CIP, Tiffany Alexander, MPH, BSN, RN, CIP</w:t>
      </w:r>
    </w:p>
    <w:p w14:paraId="38410205" w14:textId="77777777" w:rsidR="008B75DC" w:rsidRPr="008B75DC" w:rsidRDefault="008B75DC" w:rsidP="008B75DC">
      <w:r w:rsidRPr="008B75DC">
        <w:rPr>
          <w:b/>
          <w:bCs/>
        </w:rPr>
        <w:t xml:space="preserve">Guests: </w:t>
      </w:r>
      <w:r w:rsidRPr="008B75DC">
        <w:t>None</w:t>
      </w:r>
    </w:p>
    <w:p w14:paraId="30F75109" w14:textId="77777777" w:rsidR="008B75DC" w:rsidRPr="008B75DC" w:rsidRDefault="008B75DC" w:rsidP="008B75DC">
      <w:r w:rsidRPr="008B75DC">
        <w:rPr>
          <w:b/>
          <w:bCs/>
        </w:rPr>
        <w:t>Meeting Called to Order: 8:31AM</w:t>
      </w:r>
    </w:p>
    <w:p w14:paraId="1AEC8A3B" w14:textId="77777777" w:rsidR="008B75DC" w:rsidRPr="008B75DC" w:rsidRDefault="008B75DC" w:rsidP="008B75DC">
      <w:r w:rsidRPr="008B75DC">
        <w:rPr>
          <w:b/>
          <w:bCs/>
        </w:rPr>
        <w:t>Meeting Adjourned: 9:01AM</w:t>
      </w:r>
    </w:p>
    <w:p w14:paraId="7F7FC99A" w14:textId="77777777" w:rsidR="008B75DC" w:rsidRPr="008B75DC" w:rsidRDefault="008B75DC" w:rsidP="008B75DC"/>
    <w:p w14:paraId="646626C8" w14:textId="77777777" w:rsidR="008B75DC" w:rsidRPr="008B75DC" w:rsidRDefault="008B75DC" w:rsidP="008B75DC">
      <w:r w:rsidRPr="008B75DC">
        <w:rPr>
          <w:b/>
          <w:bCs/>
        </w:rPr>
        <w:t>Announcements and Education</w:t>
      </w:r>
    </w:p>
    <w:p w14:paraId="3DEAC104" w14:textId="77777777" w:rsidR="008B75DC" w:rsidRPr="008B75DC" w:rsidRDefault="008B75DC" w:rsidP="008B75DC">
      <w:r w:rsidRPr="008B75DC">
        <w:t>Note any absences in the "Un-availability" calendar. Next meeting is March 20. Dr. Savani is out; Dr. Johnson is conflicted with this study.</w:t>
      </w:r>
    </w:p>
    <w:p w14:paraId="58AAD823" w14:textId="77777777" w:rsidR="008B75DC" w:rsidRPr="008B75DC" w:rsidRDefault="008B75DC" w:rsidP="008B75DC">
      <w:proofErr w:type="gramStart"/>
      <w:r w:rsidRPr="008B75DC">
        <w:rPr>
          <w:b/>
          <w:bCs/>
        </w:rPr>
        <w:t>Reveal</w:t>
      </w:r>
      <w:proofErr w:type="gramEnd"/>
      <w:r w:rsidRPr="008B75DC">
        <w:rPr>
          <w:b/>
          <w:bCs/>
        </w:rPr>
        <w:t xml:space="preserve"> Possible Conflicts of Interest</w:t>
      </w:r>
    </w:p>
    <w:p w14:paraId="2D328E28" w14:textId="77777777" w:rsidR="008B75DC" w:rsidRPr="008B75DC" w:rsidRDefault="008B75DC" w:rsidP="008B75DC">
      <w:r w:rsidRPr="008B75DC">
        <w:t>250868: Douglas Johnson</w:t>
      </w:r>
    </w:p>
    <w:p w14:paraId="7E65A5DC" w14:textId="77777777" w:rsidR="008B75DC" w:rsidRPr="008B75DC" w:rsidRDefault="008B75DC" w:rsidP="008B75DC">
      <w:r w:rsidRPr="008B75DC">
        <w:rPr>
          <w:b/>
          <w:bCs/>
        </w:rPr>
        <w:t>Review and Approval of the Previous Minutes and Review of Approvals by the Chair</w:t>
      </w:r>
    </w:p>
    <w:p w14:paraId="1C98F7E3" w14:textId="77777777" w:rsidR="008B75DC" w:rsidRPr="008B75DC" w:rsidRDefault="008B75DC" w:rsidP="008B75DC">
      <w:r w:rsidRPr="008B75DC">
        <w:t>The Chair polled the committee for corrections to the minutes for the meeting dated 1/16/2026. No changes were provided. The minutes were approved as written.</w:t>
      </w:r>
    </w:p>
    <w:p w14:paraId="190FB376" w14:textId="692A5243" w:rsidR="008B75DC" w:rsidRPr="008B75DC" w:rsidRDefault="008B75DC" w:rsidP="008B75DC">
      <w:proofErr w:type="gramStart"/>
      <w:r w:rsidRPr="008B75DC">
        <w:rPr>
          <w:b/>
          <w:bCs/>
        </w:rPr>
        <w:t>IRB#:</w:t>
      </w:r>
      <w:proofErr w:type="gramEnd"/>
      <w:r w:rsidRPr="008B75DC">
        <w:rPr>
          <w:b/>
          <w:bCs/>
        </w:rPr>
        <w:t xml:space="preserve"> 250868</w:t>
      </w:r>
    </w:p>
    <w:p w14:paraId="0A64812C" w14:textId="77777777" w:rsidR="008B75DC" w:rsidRPr="008B75DC" w:rsidRDefault="008B75DC" w:rsidP="008B75DC">
      <w:r w:rsidRPr="008B75DC">
        <w:rPr>
          <w:b/>
          <w:bCs/>
        </w:rPr>
        <w:t>VICCPHI 24512 (A2B694-101) A Seamless Phase 1/2 Study to Evaluate the Safety and Efficacy of Mesothelin-Targeting Autologous Logic-gated Tmod™ CAR T, in Heterozygous HLA-A*02 Adults With Recurrent Unresectable, Locally Advanced, or Metastatic Solid Tumors That Express MSLN and Have Lost HLA-A*02 Expression</w:t>
      </w:r>
    </w:p>
    <w:p w14:paraId="4CBC3D84" w14:textId="77777777" w:rsidR="008B75DC" w:rsidRPr="008B75DC" w:rsidRDefault="008B75DC" w:rsidP="008B75DC">
      <w:r w:rsidRPr="008B75DC">
        <w:rPr>
          <w:b/>
          <w:bCs/>
        </w:rPr>
        <w:lastRenderedPageBreak/>
        <w:t>PI: Cathy Eng, MD</w:t>
      </w:r>
    </w:p>
    <w:p w14:paraId="6C90C432" w14:textId="77777777" w:rsidR="008B75DC" w:rsidRPr="008B75DC" w:rsidRDefault="008B75DC" w:rsidP="008B75DC">
      <w:r w:rsidRPr="008B75DC">
        <w:rPr>
          <w:b/>
          <w:bCs/>
        </w:rPr>
        <w:t>Sponsor:</w:t>
      </w:r>
      <w:r w:rsidRPr="008B75DC">
        <w:t xml:space="preserve"> A2 Biotherapeutics, Inc.</w:t>
      </w:r>
    </w:p>
    <w:p w14:paraId="08C3AACD" w14:textId="77777777" w:rsidR="008B75DC" w:rsidRPr="008B75DC" w:rsidRDefault="008B75DC" w:rsidP="008B75DC">
      <w:r w:rsidRPr="008B75DC">
        <w:rPr>
          <w:b/>
          <w:bCs/>
        </w:rPr>
        <w:t xml:space="preserve">Summary: </w:t>
      </w:r>
      <w:r w:rsidRPr="008B75DC">
        <w:t>The purpose of this study is to test this experimental therapy using modified immune cells (called A2B694). Before patients receive A2B694, they will receive treatment with a combination of 2 drugs, cyclophosphamide and fludarabine, that are already used regularly for lymphodepletion. Lymphodepletion is a short course of chemotherapy to remove your T cells (a part of your immune system). This is necessary so that A2B694 has room to expand and attack the cancer.</w:t>
      </w:r>
    </w:p>
    <w:p w14:paraId="557C3F08" w14:textId="77777777" w:rsidR="008B75DC" w:rsidRPr="008B75DC" w:rsidRDefault="008B75DC" w:rsidP="008B75DC">
      <w:r w:rsidRPr="008B75DC">
        <w:rPr>
          <w:b/>
          <w:bCs/>
        </w:rPr>
        <w:t>Subcommittee:</w:t>
      </w:r>
      <w:r w:rsidRPr="008B75DC">
        <w:t xml:space="preserve"> This is an amendment adding a new IBC product to the study.</w:t>
      </w:r>
    </w:p>
    <w:p w14:paraId="1A8AF777" w14:textId="77777777" w:rsidR="008B75DC" w:rsidRPr="008B75DC" w:rsidRDefault="008B75DC" w:rsidP="008B75DC">
      <w:r w:rsidRPr="008B75DC">
        <w:rPr>
          <w:b/>
          <w:bCs/>
        </w:rPr>
        <w:t>Comments:</w:t>
      </w:r>
    </w:p>
    <w:p w14:paraId="604456BD" w14:textId="77777777" w:rsidR="008B75DC" w:rsidRPr="008B75DC" w:rsidRDefault="008B75DC" w:rsidP="008B75DC">
      <w:r w:rsidRPr="008B75DC">
        <w:t>The Reviewers presented a summary and comments followed by discussion. A Reviewer stated this is a Phase 1/2, multicenter, open-label, study to evaluate the safety and efficacy of mesothelin-targeting autologous logic-gated Tmod™ CAR T products in heterozygous HLA-A*02 adults with recurrent unresectable, locally advanced, or metastatic solid tumors that express mesothelin (MSLN) and have lost HLA-A*02 expression (EVEREST-2).</w:t>
      </w:r>
    </w:p>
    <w:p w14:paraId="48526737" w14:textId="77777777" w:rsidR="008B75DC" w:rsidRPr="008B75DC" w:rsidRDefault="008B75DC" w:rsidP="008B75DC">
      <w:r w:rsidRPr="008B75DC">
        <w:t>The investigational product is A2B543 (= A2B694 plus inducible cell surface IL-12). The study population includes adults greater than or equal to 18 years of age that are germline heterozygous for HLA-A*02 and have recurrent unresectable, locally advanced, or metastatic colorectal cancer (CRC), non-small cell lung cancer (NSCLC), pancreatic cancer (PANC), ovarian cancer (OVCA), mesothelioma (MESO), or other solid tumors that express MSLN and have lost HLA-A*02 expression.</w:t>
      </w:r>
    </w:p>
    <w:p w14:paraId="0C031832" w14:textId="77777777" w:rsidR="008B75DC" w:rsidRPr="008B75DC" w:rsidRDefault="008B75DC" w:rsidP="008B75DC">
      <w:r w:rsidRPr="008B75DC">
        <w:t>The study design is a phase 1/2 study involving two arms. Vanderbilt University Medical Center (VUMC) is only participating in Arm 2. Phase 1a/b, included up to 50 participants from 10 to 15 United States (US) sites. There are three dose levels to determine Phase 2 dose of A2B543 and optimal preconditioning lymphodepletion. Phase 2, up to 187 additional participants from up to 30 study centers in the US and potentially other countries treated with the recommended dose of A2B543 following the recommended lymphodepletion regimen.</w:t>
      </w:r>
    </w:p>
    <w:p w14:paraId="11205C28" w14:textId="77777777" w:rsidR="008B75DC" w:rsidRPr="008B75DC" w:rsidRDefault="008B75DC" w:rsidP="008B75DC">
      <w:r w:rsidRPr="008B75DC">
        <w:t>The industry sponsor is A2 Biotherapeutics, Inc. The VUMC principal Investigator is Cathy Eng, MD, Department of Hematology/Oncology. All current key study personnel have the appropriate human subjects training to conduct the study.</w:t>
      </w:r>
    </w:p>
    <w:p w14:paraId="3335F1C7" w14:textId="62DE7E73" w:rsidR="008B75DC" w:rsidRPr="008B75DC" w:rsidRDefault="008B75DC" w:rsidP="008B75DC">
      <w:r w:rsidRPr="008B75DC">
        <w:t xml:space="preserve">A2B543 is being developed for treatment of germline heterozygous HLA-A*02 adults with recurrent unresectable, locally advanced, or metastatic solid tumors that express MSLN and have lost HLA-A*02 expression. Solid tumors comprise more than 90% of all cancer </w:t>
      </w:r>
      <w:r w:rsidRPr="008B75DC">
        <w:lastRenderedPageBreak/>
        <w:t xml:space="preserve">diagnosed annually and, when unresectable or metastatic, are rarely curable. Majority of the cancers under study are diagnosed with advanced disease resulting in very low five-year relative survival rates for all of them. Currently, for these cancers in the relapsed/refractory or metastatic setting, the standard-of-care treatment is typically palliative. So, there is a huge unmet need for more effective therapies. Tmod CAR-T cells being explored as a novel treatment; designed to target tumor specific epitope and blocked from targeting healthy cells. </w:t>
      </w:r>
    </w:p>
    <w:p w14:paraId="7232867E" w14:textId="11BA14B0" w:rsidR="008B75DC" w:rsidRPr="008B75DC" w:rsidRDefault="008B75DC" w:rsidP="008B75DC">
      <w:r w:rsidRPr="008B75DC">
        <w:t xml:space="preserve">At screening, participants must agree to and acknowledge the additional long-term follow-up study. The participant monitoring schedule includes analysis of replication competent lentivirus at the following timepoints: screening, pretreatment, Day 90, six months, 12 months, and 24 months and EOS. Participants who complete all 24 months of follow-up will continue to be followed annually for required safety and RCL testing for an additional 13 years. If all RCL assessments are negative at 12 months post infusion, then collection of the yearly follow-up samples may be discontinued. Clinical studies involve this current first-in-human study. Nine participants enrolled so far into Arm 1. Neutropenia was the only adverse event (AE) reported by more than one participant. Immune effector cell-associated neurotoxicity syndrome (ICANS) was reported in one participant. </w:t>
      </w:r>
    </w:p>
    <w:p w14:paraId="22C33030" w14:textId="77777777" w:rsidR="008B75DC" w:rsidRPr="008B75DC" w:rsidRDefault="008B75DC" w:rsidP="008B75DC">
      <w:r w:rsidRPr="008B75DC">
        <w:t>The Reviewer stated the informed consent document (ICD) is clear and risks are well delineated. The Reviewer noted no significant biosafety concerns with this new product.</w:t>
      </w:r>
    </w:p>
    <w:p w14:paraId="1F115738" w14:textId="77777777" w:rsidR="008B75DC" w:rsidRPr="008B75DC" w:rsidRDefault="008B75DC" w:rsidP="008B75DC">
      <w:r w:rsidRPr="008B75DC">
        <w:t>Another Committee Member posed the question on how consenting would carry forth should participants have concerns or questions regarding the procedures in the study due to a complicated study design and lengthy study period with serious potential adverse reactions. VHRPP staff provided information that key study personnel would be expected to be familiar with the Protocol for the study but also that if participants were to have questions, they (potential participants) are well within their rights to ask for additional time to consider before agreeing to participate as consent is always voluntary. Additionally, VHRPP staff noted IRB Policy and Procedure, as well as federal regulations dictate a consent process must be documented for each participant that agrees to be in the study and questions should be addressed during that time.</w:t>
      </w:r>
    </w:p>
    <w:p w14:paraId="429B342C" w14:textId="77777777" w:rsidR="008B75DC" w:rsidRPr="008B75DC" w:rsidRDefault="008B75DC" w:rsidP="008B75DC">
      <w:r w:rsidRPr="008B75DC">
        <w:t>The Occupational Health Reviewer cited only standard occupational health protocols would be needed for this study and noted slight change needed to the test article hazard profile form for the Occupational Health department hours. VHRPP staff noted agreement and the form would be updated administratively. The Pharmacy Reviewer noted no concerns for discussion. The Biosafety Representative noted no specific biosafety concerns.</w:t>
      </w:r>
    </w:p>
    <w:p w14:paraId="013C9196" w14:textId="77777777" w:rsidR="008B75DC" w:rsidRPr="008B75DC" w:rsidRDefault="008B75DC" w:rsidP="008B75DC">
      <w:r w:rsidRPr="008B75DC">
        <w:lastRenderedPageBreak/>
        <w:t>The Community Member agreed the ICD was lengthy but had no concerns with the information provided from a participant perspective. The Committee agreed all concerns had been addressed and recommended approval under the NIH Guidelines with BSL-2 conditions for the IP.</w:t>
      </w:r>
    </w:p>
    <w:p w14:paraId="0F6D2052" w14:textId="77777777" w:rsidR="008B75DC" w:rsidRPr="008B75DC" w:rsidRDefault="008B75DC" w:rsidP="008B75DC">
      <w:r w:rsidRPr="008B75DC">
        <w:rPr>
          <w:b/>
          <w:bCs/>
        </w:rPr>
        <w:t xml:space="preserve">Motion: </w:t>
      </w:r>
      <w:r w:rsidRPr="008B75DC">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687DA1B9" w14:textId="77777777" w:rsidR="008B75DC" w:rsidRPr="008B75DC" w:rsidRDefault="008B75DC" w:rsidP="008B75DC">
      <w:r w:rsidRPr="008B75DC">
        <w:rPr>
          <w:b/>
          <w:bCs/>
        </w:rPr>
        <w:t>Total votes for Approve: 8</w:t>
      </w:r>
      <w:r w:rsidRPr="008B75DC">
        <w:t xml:space="preserve"> (Total Members Voting: 8)</w:t>
      </w:r>
    </w:p>
    <w:p w14:paraId="36B213AE" w14:textId="77777777" w:rsidR="008B75DC" w:rsidRPr="008B75DC" w:rsidRDefault="008B75DC" w:rsidP="008B75DC">
      <w:r w:rsidRPr="008B75DC">
        <w:rPr>
          <w:b/>
          <w:bCs/>
        </w:rPr>
        <w:t>For: 8 Against: 0 Abstained: 0</w:t>
      </w:r>
    </w:p>
    <w:p w14:paraId="607AC527" w14:textId="472403F2" w:rsidR="00C57720" w:rsidRDefault="00C57720"/>
    <w:sectPr w:rsidR="00C57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DC"/>
    <w:rsid w:val="00082F8F"/>
    <w:rsid w:val="002137BA"/>
    <w:rsid w:val="00467DE4"/>
    <w:rsid w:val="00504CCE"/>
    <w:rsid w:val="005469FF"/>
    <w:rsid w:val="0089718B"/>
    <w:rsid w:val="008A7B44"/>
    <w:rsid w:val="008B75DC"/>
    <w:rsid w:val="00C57720"/>
    <w:rsid w:val="00D32208"/>
    <w:rsid w:val="00D969E5"/>
    <w:rsid w:val="00E24A19"/>
    <w:rsid w:val="00EB7C1F"/>
    <w:rsid w:val="00FD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36F0"/>
  <w15:chartTrackingRefBased/>
  <w15:docId w15:val="{82E5DD1F-C602-44C2-A9AA-682E7759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5DC"/>
    <w:rPr>
      <w:rFonts w:eastAsiaTheme="majorEastAsia" w:cstheme="majorBidi"/>
      <w:color w:val="272727" w:themeColor="text1" w:themeTint="D8"/>
    </w:rPr>
  </w:style>
  <w:style w:type="paragraph" w:styleId="Title">
    <w:name w:val="Title"/>
    <w:basedOn w:val="Normal"/>
    <w:next w:val="Normal"/>
    <w:link w:val="TitleChar"/>
    <w:uiPriority w:val="10"/>
    <w:qFormat/>
    <w:rsid w:val="008B7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5DC"/>
    <w:pPr>
      <w:spacing w:before="160"/>
      <w:jc w:val="center"/>
    </w:pPr>
    <w:rPr>
      <w:i/>
      <w:iCs/>
      <w:color w:val="404040" w:themeColor="text1" w:themeTint="BF"/>
    </w:rPr>
  </w:style>
  <w:style w:type="character" w:customStyle="1" w:styleId="QuoteChar">
    <w:name w:val="Quote Char"/>
    <w:basedOn w:val="DefaultParagraphFont"/>
    <w:link w:val="Quote"/>
    <w:uiPriority w:val="29"/>
    <w:rsid w:val="008B75DC"/>
    <w:rPr>
      <w:i/>
      <w:iCs/>
      <w:color w:val="404040" w:themeColor="text1" w:themeTint="BF"/>
    </w:rPr>
  </w:style>
  <w:style w:type="paragraph" w:styleId="ListParagraph">
    <w:name w:val="List Paragraph"/>
    <w:basedOn w:val="Normal"/>
    <w:uiPriority w:val="34"/>
    <w:qFormat/>
    <w:rsid w:val="008B75DC"/>
    <w:pPr>
      <w:ind w:left="720"/>
      <w:contextualSpacing/>
    </w:pPr>
  </w:style>
  <w:style w:type="character" w:styleId="IntenseEmphasis">
    <w:name w:val="Intense Emphasis"/>
    <w:basedOn w:val="DefaultParagraphFont"/>
    <w:uiPriority w:val="21"/>
    <w:qFormat/>
    <w:rsid w:val="008B75DC"/>
    <w:rPr>
      <w:i/>
      <w:iCs/>
      <w:color w:val="0F4761" w:themeColor="accent1" w:themeShade="BF"/>
    </w:rPr>
  </w:style>
  <w:style w:type="paragraph" w:styleId="IntenseQuote">
    <w:name w:val="Intense Quote"/>
    <w:basedOn w:val="Normal"/>
    <w:next w:val="Normal"/>
    <w:link w:val="IntenseQuoteChar"/>
    <w:uiPriority w:val="30"/>
    <w:qFormat/>
    <w:rsid w:val="008B7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5DC"/>
    <w:rPr>
      <w:i/>
      <w:iCs/>
      <w:color w:val="0F4761" w:themeColor="accent1" w:themeShade="BF"/>
    </w:rPr>
  </w:style>
  <w:style w:type="character" w:styleId="IntenseReference">
    <w:name w:val="Intense Reference"/>
    <w:basedOn w:val="DefaultParagraphFont"/>
    <w:uiPriority w:val="32"/>
    <w:qFormat/>
    <w:rsid w:val="008B75DC"/>
    <w:rPr>
      <w:b/>
      <w:bCs/>
      <w:smallCaps/>
      <w:color w:val="0F4761" w:themeColor="accent1" w:themeShade="BF"/>
      <w:spacing w:val="5"/>
    </w:rPr>
  </w:style>
  <w:style w:type="character" w:styleId="Hyperlink">
    <w:name w:val="Hyperlink"/>
    <w:basedOn w:val="DefaultParagraphFont"/>
    <w:uiPriority w:val="99"/>
    <w:unhideWhenUsed/>
    <w:rsid w:val="00467DE4"/>
    <w:rPr>
      <w:color w:val="467886" w:themeColor="hyperlink"/>
      <w:u w:val="single"/>
    </w:rPr>
  </w:style>
  <w:style w:type="character" w:styleId="UnresolvedMention">
    <w:name w:val="Unresolved Mention"/>
    <w:basedOn w:val="DefaultParagraphFont"/>
    <w:uiPriority w:val="99"/>
    <w:semiHidden/>
    <w:unhideWhenUsed/>
    <w:rsid w:val="00467DE4"/>
    <w:rPr>
      <w:color w:val="605E5C"/>
      <w:shd w:val="clear" w:color="auto" w:fill="E1DFDD"/>
    </w:rPr>
  </w:style>
  <w:style w:type="paragraph" w:styleId="Revision">
    <w:name w:val="Revision"/>
    <w:hidden/>
    <w:uiPriority w:val="99"/>
    <w:semiHidden/>
    <w:rsid w:val="00082F8F"/>
    <w:pPr>
      <w:spacing w:after="0" w:line="240" w:lineRule="auto"/>
    </w:pPr>
  </w:style>
  <w:style w:type="character" w:styleId="FollowedHyperlink">
    <w:name w:val="FollowedHyperlink"/>
    <w:basedOn w:val="DefaultParagraphFont"/>
    <w:uiPriority w:val="99"/>
    <w:semiHidden/>
    <w:unhideWhenUsed/>
    <w:rsid w:val="00504C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6491</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2</cp:revision>
  <dcterms:created xsi:type="dcterms:W3CDTF">2026-04-02T16:38:00Z</dcterms:created>
  <dcterms:modified xsi:type="dcterms:W3CDTF">2026-04-02T16:38:00Z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2026-03-30T16:36:57Z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96dda000-c0f0-4681-ac52-e7ab2445d456</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