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2F8F" w14:textId="5AA5C951" w:rsidR="00A976D1" w:rsidRDefault="00E719A3" w:rsidP="00E719A3">
      <w:pPr>
        <w:jc w:val="center"/>
        <w:rPr>
          <w:b/>
          <w:bCs/>
        </w:rPr>
      </w:pPr>
      <w:r w:rsidRPr="00E719A3">
        <w:rPr>
          <w:b/>
          <w:bCs/>
        </w:rPr>
        <w:t>IBC Minutes for January 16, 2026</w:t>
      </w:r>
    </w:p>
    <w:p w14:paraId="2629F4FE" w14:textId="787CA2BD" w:rsidR="00A976D1" w:rsidRPr="00A976D1" w:rsidRDefault="00A976D1" w:rsidP="00A976D1">
      <w:r w:rsidRPr="00A976D1">
        <w:rPr>
          <w:b/>
          <w:bCs/>
        </w:rPr>
        <w:t>Location:</w:t>
      </w:r>
      <w:r w:rsidRPr="00A976D1">
        <w:t xml:space="preserve"> Virtual</w:t>
      </w:r>
    </w:p>
    <w:p w14:paraId="32A88353" w14:textId="77777777" w:rsidR="00A976D1" w:rsidRPr="00A976D1" w:rsidRDefault="00A976D1" w:rsidP="00A976D1">
      <w:r w:rsidRPr="00A976D1">
        <w:rPr>
          <w:b/>
          <w:bCs/>
        </w:rPr>
        <w:t>Total Voting Members 10; Quorum 6</w:t>
      </w:r>
    </w:p>
    <w:p w14:paraId="05C2D2D5" w14:textId="77777777" w:rsidR="00A976D1" w:rsidRPr="00A976D1" w:rsidRDefault="00A976D1" w:rsidP="00A976D1">
      <w:r w:rsidRPr="00A976D1">
        <w:rPr>
          <w:b/>
          <w:bCs/>
        </w:rPr>
        <w:t>Members Present:</w:t>
      </w:r>
      <w:r w:rsidRPr="00A976D1">
        <w:t xml:space="preserve"> Antonios Hatzopoulos, PhD (OS), Bipin Savani, M.D. (PS), Cary Fu, M.D. (PS), Christopher Aiken, Ph.D. (OS), Donna Torr, PharmD (OS), Kimberly Towers, BS (NS), Richard DiTullio, PhD (OS), Rolinda Bailey, BSMT(ASCP) (NS)</w:t>
      </w:r>
    </w:p>
    <w:p w14:paraId="1E1EFA64" w14:textId="77777777" w:rsidR="00A976D1" w:rsidRPr="00A976D1" w:rsidRDefault="00A976D1" w:rsidP="00A976D1">
      <w:r w:rsidRPr="00A976D1">
        <w:rPr>
          <w:b/>
          <w:bCs/>
        </w:rPr>
        <w:t>Members Absent:</w:t>
      </w:r>
      <w:r w:rsidRPr="00A976D1">
        <w:t xml:space="preserve"> Ana Nobis, MD, MPH (PS), Douglas Johnson, M.D., MSCI (PS), Paul Blair, MD, MDS (PS)</w:t>
      </w:r>
    </w:p>
    <w:p w14:paraId="25788CF8" w14:textId="77777777" w:rsidR="00A976D1" w:rsidRPr="00A976D1" w:rsidRDefault="00A976D1" w:rsidP="00A976D1">
      <w:r w:rsidRPr="00A976D1">
        <w:rPr>
          <w:b/>
          <w:bCs/>
        </w:rPr>
        <w:t>Ex-Officio Members Present:</w:t>
      </w:r>
    </w:p>
    <w:p w14:paraId="1CC4DA3E" w14:textId="77777777" w:rsidR="00A976D1" w:rsidRPr="00A976D1" w:rsidRDefault="00A976D1" w:rsidP="00A976D1">
      <w:r w:rsidRPr="00A976D1">
        <w:rPr>
          <w:b/>
          <w:bCs/>
        </w:rPr>
        <w:t>Administrative Staff Present:</w:t>
      </w:r>
      <w:r w:rsidRPr="00A976D1">
        <w:t xml:space="preserve"> James Arrington, BA, CIP, Tiffany Alexander, MPH, BSN, RN, CIP</w:t>
      </w:r>
    </w:p>
    <w:p w14:paraId="46F52F53" w14:textId="77777777" w:rsidR="00A976D1" w:rsidRPr="00A976D1" w:rsidRDefault="00A976D1" w:rsidP="00A976D1">
      <w:r w:rsidRPr="00A976D1">
        <w:rPr>
          <w:b/>
          <w:bCs/>
        </w:rPr>
        <w:t xml:space="preserve">Guests: </w:t>
      </w:r>
      <w:r w:rsidRPr="00A976D1">
        <w:t>None</w:t>
      </w:r>
    </w:p>
    <w:p w14:paraId="472562D6" w14:textId="77777777" w:rsidR="00A976D1" w:rsidRPr="00A976D1" w:rsidRDefault="00A976D1" w:rsidP="00A976D1">
      <w:r w:rsidRPr="00A976D1">
        <w:rPr>
          <w:b/>
          <w:bCs/>
        </w:rPr>
        <w:t>Meeting Called to Order: 8:39AM</w:t>
      </w:r>
    </w:p>
    <w:p w14:paraId="38C859C7" w14:textId="17E75990" w:rsidR="00A976D1" w:rsidRPr="00A976D1" w:rsidRDefault="00A976D1" w:rsidP="00A976D1">
      <w:r w:rsidRPr="00A976D1">
        <w:rPr>
          <w:b/>
          <w:bCs/>
        </w:rPr>
        <w:t>Meeting Adjourned: 9:09AM</w:t>
      </w:r>
    </w:p>
    <w:p w14:paraId="7928EC60" w14:textId="77777777" w:rsidR="00A976D1" w:rsidRPr="00A976D1" w:rsidRDefault="00A976D1" w:rsidP="00A976D1">
      <w:r w:rsidRPr="00A976D1">
        <w:rPr>
          <w:b/>
          <w:bCs/>
        </w:rPr>
        <w:t>Announcements and Education</w:t>
      </w:r>
    </w:p>
    <w:p w14:paraId="6F31DE19" w14:textId="34F5095A" w:rsidR="00A976D1" w:rsidRPr="00A976D1" w:rsidRDefault="00A976D1" w:rsidP="00A976D1">
      <w:r w:rsidRPr="00A976D1">
        <w:t>Happy New Year!</w:t>
      </w:r>
    </w:p>
    <w:p w14:paraId="672253F9" w14:textId="77777777" w:rsidR="00A976D1" w:rsidRPr="00A976D1" w:rsidRDefault="00A976D1" w:rsidP="00A976D1">
      <w:r w:rsidRPr="00A976D1">
        <w:rPr>
          <w:b/>
          <w:bCs/>
        </w:rPr>
        <w:t>Reveal Possible Conflicts of Interest</w:t>
      </w:r>
    </w:p>
    <w:p w14:paraId="318A6B73" w14:textId="6FBD9634" w:rsidR="00A976D1" w:rsidRPr="00A976D1" w:rsidRDefault="00A976D1" w:rsidP="00A976D1">
      <w:r w:rsidRPr="00A976D1">
        <w:t>None</w:t>
      </w:r>
    </w:p>
    <w:p w14:paraId="2648DF30" w14:textId="77777777" w:rsidR="00A976D1" w:rsidRPr="00A976D1" w:rsidRDefault="00A976D1" w:rsidP="00A976D1">
      <w:r w:rsidRPr="00A976D1">
        <w:rPr>
          <w:b/>
          <w:bCs/>
        </w:rPr>
        <w:t>Review and Approval of the Previous Minutes and Review of Approvals by the Chair</w:t>
      </w:r>
    </w:p>
    <w:p w14:paraId="54A7080E" w14:textId="77777777" w:rsidR="00A976D1" w:rsidRPr="00A976D1" w:rsidRDefault="00A976D1" w:rsidP="00A976D1">
      <w:r w:rsidRPr="00A976D1">
        <w:t>The Chair polled the committee for corrections to the minutes for the meeting dated 12/19/2025. No changes were provided. The minutes were approved as written.</w:t>
      </w:r>
    </w:p>
    <w:p w14:paraId="26ECF633" w14:textId="77777777" w:rsidR="00A976D1" w:rsidRPr="00A976D1" w:rsidRDefault="00A976D1" w:rsidP="00A976D1"/>
    <w:p w14:paraId="6BADD8B1" w14:textId="77777777" w:rsidR="00A976D1" w:rsidRPr="00A976D1" w:rsidRDefault="00A976D1" w:rsidP="00A976D1">
      <w:r w:rsidRPr="00A976D1">
        <w:rPr>
          <w:b/>
          <w:bCs/>
        </w:rPr>
        <w:t>IRB#: 251816</w:t>
      </w:r>
    </w:p>
    <w:p w14:paraId="075EFA29" w14:textId="77777777" w:rsidR="00A976D1" w:rsidRPr="00A976D1" w:rsidRDefault="00A976D1" w:rsidP="00A976D1">
      <w:r w:rsidRPr="00A976D1">
        <w:rPr>
          <w:b/>
          <w:bCs/>
        </w:rPr>
        <w:t>VICCPHI 25031 (TBBO11818-101) DENALI-1: A Seamless Phase 1/2 Study to Evaluate the Safety and Efficacy of A2B395, an Allogeneic Logic-gated Tmod(TM) CAR T, in Heterozygous HLA-A*02 Adults with Recurrent Unresectable, Locally Advanced, or Metastatic Solid Tumors That Express EGFR and Have Lost HLA-A*02 Expression.</w:t>
      </w:r>
    </w:p>
    <w:p w14:paraId="61AFB41C" w14:textId="77777777" w:rsidR="00A976D1" w:rsidRPr="00A976D1" w:rsidRDefault="00A976D1" w:rsidP="00A976D1">
      <w:r w:rsidRPr="00A976D1">
        <w:rPr>
          <w:b/>
          <w:bCs/>
        </w:rPr>
        <w:t>PI: Kristen Ciombor, MD</w:t>
      </w:r>
    </w:p>
    <w:p w14:paraId="2C9D7F5F" w14:textId="77777777" w:rsidR="00A976D1" w:rsidRPr="00A976D1" w:rsidRDefault="00A976D1" w:rsidP="00A976D1">
      <w:r w:rsidRPr="00A976D1">
        <w:rPr>
          <w:b/>
          <w:bCs/>
        </w:rPr>
        <w:lastRenderedPageBreak/>
        <w:t>Sponsor:</w:t>
      </w:r>
      <w:r w:rsidRPr="00A976D1">
        <w:t xml:space="preserve"> A2 Biotherapeutics, Inc.</w:t>
      </w:r>
    </w:p>
    <w:p w14:paraId="312C3A40" w14:textId="77777777" w:rsidR="00A976D1" w:rsidRPr="00A976D1" w:rsidRDefault="00A976D1" w:rsidP="00A976D1">
      <w:r w:rsidRPr="00A976D1">
        <w:rPr>
          <w:b/>
          <w:bCs/>
        </w:rPr>
        <w:t xml:space="preserve">Summary: </w:t>
      </w:r>
      <w:r w:rsidRPr="00A976D1">
        <w:t>The purpose of this study is to test A2B395 in the treatment of solid tumor cancers.</w:t>
      </w:r>
    </w:p>
    <w:p w14:paraId="4F57FD3A" w14:textId="77777777" w:rsidR="00A976D1" w:rsidRPr="00A976D1" w:rsidRDefault="00A976D1" w:rsidP="00A976D1">
      <w:r w:rsidRPr="00A976D1">
        <w:rPr>
          <w:b/>
          <w:bCs/>
        </w:rPr>
        <w:t>Comments:</w:t>
      </w:r>
    </w:p>
    <w:p w14:paraId="7D9A6CCA" w14:textId="77777777" w:rsidR="00A976D1" w:rsidRPr="00A976D1" w:rsidRDefault="00A976D1" w:rsidP="00A976D1">
      <w:r w:rsidRPr="00A976D1">
        <w:t>The Reviewers presented a summary and comments followed by discussion. A Reviewer stated this study is called DENALI-1: A seamless Phase 1/2 study to evaluate the safety and efficacy of A2B395, an allogeneic logic-gated Tmod™ CAR T, in heterozygous HLA-A*02 adults with recurrent unresectable, locally advanced, or metastatic solid tumors that express EGFR and have lost HLA-A*02 Expression. The sponsor for the study is; A2 Biotherapeutics, Inc. The Principal Investigator is Kristen Ciombor, MD, Department of Hematology/Oncology at Vanderbilt University Medical Center. All key study personnel have the appropriate human subjects training to conduct the study.</w:t>
      </w:r>
    </w:p>
    <w:p w14:paraId="17624848" w14:textId="43AF1C82" w:rsidR="00A976D1" w:rsidRPr="00A976D1" w:rsidRDefault="00A976D1" w:rsidP="00A976D1">
      <w:r w:rsidRPr="00A976D1">
        <w:t xml:space="preserve">A Reviewer </w:t>
      </w:r>
      <w:proofErr w:type="gramStart"/>
      <w:r w:rsidRPr="00A976D1">
        <w:t>noted</w:t>
      </w:r>
      <w:proofErr w:type="gramEnd"/>
      <w:r w:rsidRPr="00A976D1">
        <w:t xml:space="preserve"> solid tumors comprise more than 90% of all cancers diagnosed annually and, when unresectable or metastatic, are rarely curable and treatment is toxic, with current five-year survival ranging from less than five percent to commonly less than 50 percent depending on the site of the primary tumor. There is a demand for safer and more effective therapies to address the high unmet medical need for patients with solid tumors, particularly those with recurrent unresectable, locally advanced, or metastatic disease. This is phase 1/2, multicenter, open-label, nonrandomized study. This study consists of phase 1 dose-escalation and dose-expansion portions and a phase 2 cohort-expansion port. The patient population includes germline heterozygous HLA-A*02 adults with recurrent unresectable, locally advanced, or metastatic CRC, NSCLC, HNSCC, TNBC, RCC or other solid tumors that express EGFR and have lost HLA-A*02 expression. The reviewer noted that safety is based on nonclinical studies conducted to date, A2B395 displays key nonclinical characteristics that support a favorable profile of clinical efficacy and safety. The Reviewer noted no biosafety concerns at this time.</w:t>
      </w:r>
    </w:p>
    <w:p w14:paraId="12462CC2" w14:textId="6B5B7BF0" w:rsidR="00A976D1" w:rsidRPr="00A976D1" w:rsidRDefault="00A976D1" w:rsidP="00A976D1">
      <w:r w:rsidRPr="00A976D1">
        <w:t xml:space="preserve">Another Reviewer noted agreement with the thorough review by the Primary Reviewer citing interest in this new technology and how it can be used to assist patients. The Committee discussed and agreed that </w:t>
      </w:r>
      <w:proofErr w:type="gramStart"/>
      <w:r w:rsidRPr="00A976D1">
        <w:t>particular question</w:t>
      </w:r>
      <w:proofErr w:type="gramEnd"/>
      <w:r w:rsidRPr="00A976D1">
        <w:t xml:space="preserve"> within the subcommittee intake form is noted </w:t>
      </w:r>
      <w:proofErr w:type="gramStart"/>
      <w:r w:rsidRPr="00A976D1">
        <w:t>with regard to</w:t>
      </w:r>
      <w:proofErr w:type="gramEnd"/>
      <w:r w:rsidRPr="00A976D1">
        <w:t xml:space="preserve"> potential hazards of bodily fluids to those who are around the patient receiving the agent. The Committee agreed the study team did answer the question appropriately and did not request any changes.</w:t>
      </w:r>
    </w:p>
    <w:p w14:paraId="2C1032B2" w14:textId="77777777" w:rsidR="00A976D1" w:rsidRPr="00A976D1" w:rsidRDefault="00A976D1" w:rsidP="00A976D1">
      <w:r w:rsidRPr="00A976D1">
        <w:t xml:space="preserve">There were no comments for discussion from the Pharmacy Reviewer or Community Members. The Occupational Health Reviewer was not present but provided comments prior to the meeting and noted no specific concerns. The Committee agreed there were no </w:t>
      </w:r>
      <w:r w:rsidRPr="00A976D1">
        <w:lastRenderedPageBreak/>
        <w:t>issues for biosafety review and recommended approval with BSL-2 conditions under the NIH Guidelines.</w:t>
      </w:r>
    </w:p>
    <w:p w14:paraId="3196BB52" w14:textId="77777777" w:rsidR="00A976D1" w:rsidRPr="00A976D1" w:rsidRDefault="00A976D1" w:rsidP="00A976D1">
      <w:r w:rsidRPr="00A976D1">
        <w:rPr>
          <w:b/>
          <w:bCs/>
        </w:rPr>
        <w:t xml:space="preserve">Motion: </w:t>
      </w:r>
      <w:r w:rsidRPr="00A976D1">
        <w:t>The Committee found that the description of the agent, use, precautions, and risks are appropriately described in the submitted documents including the consent document(s). The Committee found that the requirements for protocol submission, review, and reporting per Section III-C and section III-C-1 NIH Guidelines for Research Involving Recombinant or Synthetic Nucleic Acid Molecules have been met. Approval was recommended.</w:t>
      </w:r>
    </w:p>
    <w:p w14:paraId="7E9D1133" w14:textId="77777777" w:rsidR="00A976D1" w:rsidRPr="00A976D1" w:rsidRDefault="00A976D1" w:rsidP="00A976D1">
      <w:r w:rsidRPr="00A976D1">
        <w:rPr>
          <w:b/>
          <w:bCs/>
        </w:rPr>
        <w:t>Total votes for Approve: 8</w:t>
      </w:r>
      <w:r w:rsidRPr="00A976D1">
        <w:t xml:space="preserve"> (Total Members Voting: 8)</w:t>
      </w:r>
    </w:p>
    <w:p w14:paraId="2E26D224" w14:textId="66FB1E4B" w:rsidR="004C1B27" w:rsidRPr="00A976D1" w:rsidRDefault="00A976D1" w:rsidP="00A976D1">
      <w:r w:rsidRPr="00A976D1">
        <w:rPr>
          <w:b/>
          <w:bCs/>
        </w:rPr>
        <w:t>For: 8 Against: 0 Abstained: 0</w:t>
      </w:r>
    </w:p>
    <w:p w14:paraId="1C97C90A" w14:textId="77777777" w:rsidR="00A976D1" w:rsidRPr="00A976D1" w:rsidRDefault="00A976D1" w:rsidP="00A976D1"/>
    <w:p w14:paraId="0DA27DEA" w14:textId="77777777" w:rsidR="00E719A3" w:rsidRDefault="00E719A3" w:rsidP="00A976D1">
      <w:pPr>
        <w:rPr>
          <w:b/>
          <w:bCs/>
        </w:rPr>
      </w:pPr>
    </w:p>
    <w:p w14:paraId="06083E68" w14:textId="37748F19" w:rsidR="00A976D1" w:rsidRPr="00A976D1" w:rsidRDefault="00A976D1" w:rsidP="00A976D1">
      <w:r w:rsidRPr="00A976D1">
        <w:rPr>
          <w:b/>
          <w:bCs/>
        </w:rPr>
        <w:t>IRB#: 251541</w:t>
      </w:r>
    </w:p>
    <w:p w14:paraId="054ED0FC" w14:textId="77777777" w:rsidR="00A976D1" w:rsidRPr="00A976D1" w:rsidRDefault="00A976D1" w:rsidP="00A976D1">
      <w:r w:rsidRPr="00A976D1">
        <w:rPr>
          <w:b/>
          <w:bCs/>
        </w:rPr>
        <w:t>BEYOND-9: A Two-Part Open-Label Study of REGV131 LNP1265, a CRISPR/Cas9-Based Coagulation Factor IX Gene Insertion Therapy in Participants with Hemophilia B</w:t>
      </w:r>
    </w:p>
    <w:p w14:paraId="3BB405AD" w14:textId="77777777" w:rsidR="00A976D1" w:rsidRPr="00A976D1" w:rsidRDefault="00A976D1" w:rsidP="00A976D1">
      <w:r w:rsidRPr="00A976D1">
        <w:rPr>
          <w:b/>
          <w:bCs/>
        </w:rPr>
        <w:t>PI: Michelle Chi, MD</w:t>
      </w:r>
    </w:p>
    <w:p w14:paraId="044A852F" w14:textId="77777777" w:rsidR="00A976D1" w:rsidRPr="00A976D1" w:rsidRDefault="00A976D1" w:rsidP="00A976D1">
      <w:r w:rsidRPr="00A976D1">
        <w:rPr>
          <w:b/>
          <w:bCs/>
        </w:rPr>
        <w:t>Sponsor:</w:t>
      </w:r>
      <w:r w:rsidRPr="00A976D1">
        <w:t xml:space="preserve"> Regeneron Pharmaceuticals, Inc.</w:t>
      </w:r>
    </w:p>
    <w:p w14:paraId="39E40C8E" w14:textId="77777777" w:rsidR="00A976D1" w:rsidRPr="00A976D1" w:rsidRDefault="00A976D1" w:rsidP="00A976D1">
      <w:r w:rsidRPr="00A976D1">
        <w:rPr>
          <w:b/>
          <w:bCs/>
        </w:rPr>
        <w:t xml:space="preserve">Summary: </w:t>
      </w:r>
      <w:r w:rsidRPr="00A976D1">
        <w:t>The goal of this study is to evaluate the safety, tolerability, and clotting Factor IX (FIX) functional activity following a single IV administration of REGV131-LNP1265 in participants with hemophilia B to establish the recommended dose for further development.</w:t>
      </w:r>
    </w:p>
    <w:p w14:paraId="7CC26B10" w14:textId="77777777" w:rsidR="00A976D1" w:rsidRPr="00A976D1" w:rsidRDefault="00A976D1" w:rsidP="00A976D1">
      <w:r w:rsidRPr="00A976D1">
        <w:rPr>
          <w:b/>
          <w:bCs/>
        </w:rPr>
        <w:t>Subcommittee:</w:t>
      </w:r>
    </w:p>
    <w:p w14:paraId="49924FF4" w14:textId="77777777" w:rsidR="00A976D1" w:rsidRPr="00A976D1" w:rsidRDefault="00A976D1" w:rsidP="00A976D1">
      <w:r w:rsidRPr="00A976D1">
        <w:rPr>
          <w:b/>
          <w:bCs/>
        </w:rPr>
        <w:t>Comments:</w:t>
      </w:r>
    </w:p>
    <w:p w14:paraId="0D122952" w14:textId="77777777" w:rsidR="00A976D1" w:rsidRPr="00A976D1" w:rsidRDefault="00A976D1" w:rsidP="00A976D1">
      <w:r w:rsidRPr="00A976D1">
        <w:t>The Reviewers presented a summary and comments followed by discussion. A Reviewer stated, BEYOND-9 is a two-part open-label study of REGV131 LNP1265, a CRISPR/Cas9-based coagulation Factor IX gene insertion therapy in participants with Hemophilia B. The sponsor for the study is Regeneron Pharmaceuticals, Inc, Terrytown, NY. The investigational product: REGV131-LNP1265. The Principal Investigator at Vanderbilt University Medical Center is Dr. Michelle Chi, MD, Department of Hematology/Oncology. All key study personnel have the documented human subjects training to conduct the study.</w:t>
      </w:r>
    </w:p>
    <w:p w14:paraId="0CC7F4ED" w14:textId="77777777" w:rsidR="00A976D1" w:rsidRPr="00A976D1" w:rsidRDefault="00A976D1" w:rsidP="00A976D1"/>
    <w:p w14:paraId="6E0BDC2C" w14:textId="77777777" w:rsidR="00A976D1" w:rsidRPr="00A976D1" w:rsidRDefault="00A976D1" w:rsidP="00A976D1">
      <w:r w:rsidRPr="00A976D1">
        <w:lastRenderedPageBreak/>
        <w:t>A Reviewer noted this is a two-part, phase 1/2 open-label study (acronym BEYOND-9) to investigate the safety and effectiveness of a gene insertion therapy in subjects with moderately severe or severe Hemophilia B, who have a genetic mutation in the coagulation (blood clotting) Factor IX (FIX) gene. Affected individuals have low plasma levels of FIX protein, thereby suffering from frequent, spontaneous or traumatic, life-threatening, internal bleedings from an early age.</w:t>
      </w:r>
    </w:p>
    <w:p w14:paraId="221FC992" w14:textId="59C2010B" w:rsidR="00A976D1" w:rsidRPr="00A976D1" w:rsidRDefault="00A976D1" w:rsidP="00A976D1">
      <w:r w:rsidRPr="00A976D1">
        <w:t>The investigational product is comprised of two components, REGV131 and LNP1265 that will be administered as one-time intravenous (IV) infusion of REGV131 followed by LNP1265.</w:t>
      </w:r>
      <w:r w:rsidR="00957977">
        <w:t xml:space="preserve"> </w:t>
      </w:r>
    </w:p>
    <w:p w14:paraId="2AA99994" w14:textId="0A6063A6" w:rsidR="00A976D1" w:rsidRPr="00A976D1" w:rsidRDefault="00A976D1" w:rsidP="00A976D1">
      <w:r w:rsidRPr="00A976D1">
        <w:t xml:space="preserve">Currently, Hemophilia B treatment includes prophylaxis with replacement therapy, starting at 12 to 18 months of age and using intravenous administration of exogenous FIX clotting factor two to three times per week, or, in case of extended half-life FIX prophylaxis, once every one to two weeks. The high frequency of infusions is particularly challenging for patients and family members. </w:t>
      </w:r>
    </w:p>
    <w:p w14:paraId="00EF9292" w14:textId="77777777" w:rsidR="00A976D1" w:rsidRPr="00A976D1" w:rsidRDefault="00A976D1" w:rsidP="00A976D1">
      <w:r w:rsidRPr="00A976D1">
        <w:t>Part 1 of the study is a dose escalation and dose confirmation study in participants greater than or equal to 18 years of age with primary objectives to evaluate: a) safety and tolerability, and b) clotting FIX functional activity to establish the recommended dose for expansion (RDE) after a single IV administration of REGV131-LNP1265 in participants with hemophilia B. Twenty four subjects will be enrolled to receive four ascending doses in four cohorts of six. This number includes one sentinel observed for 28 days before proceeding to infusion of five additional participants per dose.</w:t>
      </w:r>
    </w:p>
    <w:p w14:paraId="1F8976C7" w14:textId="77777777" w:rsidR="00A976D1" w:rsidRPr="00A976D1" w:rsidRDefault="00A976D1" w:rsidP="00A976D1">
      <w:r w:rsidRPr="00A976D1">
        <w:t>Part 2 is a dose expansion study to evaluate a) clotting FIX functional activity at the RDE, and b) efficacy regarding bleeding event frequency, need for replacement therapy, etc., in three cohorts of greater than or equal to 18 years of age (50 subjects total), greater than or equal to 12 years to less than 18 years of age (20 subjects) and greater than or equal to 2 years to less than 12 years of age (20 subjects). Participants will be monitored in the clinic for 1 day and then weekly for 12 weeks, monthly for 25 weeks, and every 3 months for up to two years for adverse effects, bleedings, liver damage, FIX plasma levels, etc. followed by a 13-year observation phase.</w:t>
      </w:r>
    </w:p>
    <w:p w14:paraId="71B59153" w14:textId="37C4C8BA" w:rsidR="00A976D1" w:rsidRPr="00A976D1" w:rsidRDefault="00A976D1" w:rsidP="00A976D1">
      <w:r w:rsidRPr="00A976D1">
        <w:t xml:space="preserve">The risks include reduction of ALB expression levels below safe limits, liver toxicity, immune reactions to the two agents, infusion-related reactions, oncogenesis, off-target mutagenesis, and thromboembolic events. Some of the adverse </w:t>
      </w:r>
      <w:r w:rsidR="0071544C" w:rsidRPr="00A976D1">
        <w:t>effects</w:t>
      </w:r>
      <w:r w:rsidRPr="00A976D1">
        <w:t xml:space="preserve"> will be treated as indicated, for example with corticosteroids, or thrombolytics.</w:t>
      </w:r>
    </w:p>
    <w:p w14:paraId="5D9500F5" w14:textId="77777777" w:rsidR="00A976D1" w:rsidRPr="00A976D1" w:rsidRDefault="00A976D1" w:rsidP="00A976D1"/>
    <w:p w14:paraId="523B03C3" w14:textId="77777777" w:rsidR="00A976D1" w:rsidRPr="00A976D1" w:rsidRDefault="00A976D1" w:rsidP="00A976D1"/>
    <w:p w14:paraId="3D0C2988" w14:textId="77777777" w:rsidR="00A976D1" w:rsidRPr="00A976D1" w:rsidRDefault="00A976D1" w:rsidP="00A976D1">
      <w:r w:rsidRPr="00A976D1">
        <w:lastRenderedPageBreak/>
        <w:t>There were no comments for concern from the Pharmacy Reviewer, only that the participants would have a very long day with tight treatment window. However, this would be worked out with logistics once the study gets started. The Occupational Health Reviewer provided comment prior to the meeting and noted no concerns.</w:t>
      </w:r>
    </w:p>
    <w:p w14:paraId="616BE8B5" w14:textId="77777777" w:rsidR="00A976D1" w:rsidRPr="00A976D1" w:rsidRDefault="00A976D1" w:rsidP="00A976D1">
      <w:r w:rsidRPr="00A976D1">
        <w:t>The Community Members had no concerns for discussion. The Biosafety Representative noted both components of the study are technically under BSL-1; however, Pharmacy preparations for gene therapies require a biosafety cabinet. The Committee agreed all concerns had been addressed and recommended approval under BSL-1 under the NIH Guidelines.</w:t>
      </w:r>
    </w:p>
    <w:p w14:paraId="2B85A904" w14:textId="77777777" w:rsidR="00A976D1" w:rsidRPr="00A976D1" w:rsidRDefault="00A976D1" w:rsidP="00A976D1">
      <w:r w:rsidRPr="00A976D1">
        <w:rPr>
          <w:b/>
          <w:bCs/>
        </w:rPr>
        <w:t xml:space="preserve">Motion: </w:t>
      </w:r>
      <w:r w:rsidRPr="00A976D1">
        <w:t>The Committee found that the description of the agent, use, precautions, and risks are appropriately described in the submitted documents including the consent document(s). The Committee found that the requirements for protocol submission, review, and reporting per Section III-C and section III-C-1 NIH Guidelines for Research Involving Recombinant or Synthetic Nucleic Acid Molecules have been met. Approval was recommended.</w:t>
      </w:r>
    </w:p>
    <w:p w14:paraId="41B1CD47" w14:textId="77777777" w:rsidR="00A976D1" w:rsidRPr="00A976D1" w:rsidRDefault="00A976D1" w:rsidP="00A976D1">
      <w:r w:rsidRPr="00A976D1">
        <w:rPr>
          <w:b/>
          <w:bCs/>
        </w:rPr>
        <w:t>Total votes for Approve: 8</w:t>
      </w:r>
      <w:r w:rsidRPr="00A976D1">
        <w:t xml:space="preserve"> (Total Members Voting: 8)</w:t>
      </w:r>
    </w:p>
    <w:p w14:paraId="032E41A6" w14:textId="4AC61822" w:rsidR="0071544C" w:rsidRDefault="00A976D1">
      <w:r w:rsidRPr="00A976D1">
        <w:rPr>
          <w:b/>
          <w:bCs/>
        </w:rPr>
        <w:t>For: 8 Against: 0 Abstained: 0</w:t>
      </w:r>
    </w:p>
    <w:sectPr w:rsidR="007154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0E"/>
    <w:rsid w:val="00094BCF"/>
    <w:rsid w:val="00407E41"/>
    <w:rsid w:val="004C1B27"/>
    <w:rsid w:val="00520D1F"/>
    <w:rsid w:val="006010F5"/>
    <w:rsid w:val="0071544C"/>
    <w:rsid w:val="0071692A"/>
    <w:rsid w:val="00794207"/>
    <w:rsid w:val="007E5B80"/>
    <w:rsid w:val="0089718B"/>
    <w:rsid w:val="00957977"/>
    <w:rsid w:val="00A332A8"/>
    <w:rsid w:val="00A976D1"/>
    <w:rsid w:val="00B60E91"/>
    <w:rsid w:val="00B663C4"/>
    <w:rsid w:val="00C14EB3"/>
    <w:rsid w:val="00E719A3"/>
    <w:rsid w:val="00F6060E"/>
    <w:rsid w:val="00FD5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7B671"/>
  <w15:chartTrackingRefBased/>
  <w15:docId w15:val="{5C5E3C31-6366-45A9-A5A5-690EADEA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6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6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6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6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6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6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6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60E"/>
    <w:rPr>
      <w:rFonts w:eastAsiaTheme="majorEastAsia" w:cstheme="majorBidi"/>
      <w:color w:val="272727" w:themeColor="text1" w:themeTint="D8"/>
    </w:rPr>
  </w:style>
  <w:style w:type="paragraph" w:styleId="Title">
    <w:name w:val="Title"/>
    <w:basedOn w:val="Normal"/>
    <w:next w:val="Normal"/>
    <w:link w:val="TitleChar"/>
    <w:uiPriority w:val="10"/>
    <w:qFormat/>
    <w:rsid w:val="00F60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60E"/>
    <w:pPr>
      <w:spacing w:before="160"/>
      <w:jc w:val="center"/>
    </w:pPr>
    <w:rPr>
      <w:i/>
      <w:iCs/>
      <w:color w:val="404040" w:themeColor="text1" w:themeTint="BF"/>
    </w:rPr>
  </w:style>
  <w:style w:type="character" w:customStyle="1" w:styleId="QuoteChar">
    <w:name w:val="Quote Char"/>
    <w:basedOn w:val="DefaultParagraphFont"/>
    <w:link w:val="Quote"/>
    <w:uiPriority w:val="29"/>
    <w:rsid w:val="00F6060E"/>
    <w:rPr>
      <w:i/>
      <w:iCs/>
      <w:color w:val="404040" w:themeColor="text1" w:themeTint="BF"/>
    </w:rPr>
  </w:style>
  <w:style w:type="paragraph" w:styleId="ListParagraph">
    <w:name w:val="List Paragraph"/>
    <w:basedOn w:val="Normal"/>
    <w:uiPriority w:val="34"/>
    <w:qFormat/>
    <w:rsid w:val="00F6060E"/>
    <w:pPr>
      <w:ind w:left="720"/>
      <w:contextualSpacing/>
    </w:pPr>
  </w:style>
  <w:style w:type="character" w:styleId="IntenseEmphasis">
    <w:name w:val="Intense Emphasis"/>
    <w:basedOn w:val="DefaultParagraphFont"/>
    <w:uiPriority w:val="21"/>
    <w:qFormat/>
    <w:rsid w:val="00F6060E"/>
    <w:rPr>
      <w:i/>
      <w:iCs/>
      <w:color w:val="0F4761" w:themeColor="accent1" w:themeShade="BF"/>
    </w:rPr>
  </w:style>
  <w:style w:type="paragraph" w:styleId="IntenseQuote">
    <w:name w:val="Intense Quote"/>
    <w:basedOn w:val="Normal"/>
    <w:next w:val="Normal"/>
    <w:link w:val="IntenseQuoteChar"/>
    <w:uiPriority w:val="30"/>
    <w:qFormat/>
    <w:rsid w:val="00F60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60E"/>
    <w:rPr>
      <w:i/>
      <w:iCs/>
      <w:color w:val="0F4761" w:themeColor="accent1" w:themeShade="BF"/>
    </w:rPr>
  </w:style>
  <w:style w:type="character" w:styleId="IntenseReference">
    <w:name w:val="Intense Reference"/>
    <w:basedOn w:val="DefaultParagraphFont"/>
    <w:uiPriority w:val="32"/>
    <w:qFormat/>
    <w:rsid w:val="00F6060E"/>
    <w:rPr>
      <w:b/>
      <w:bCs/>
      <w:smallCaps/>
      <w:color w:val="0F4761" w:themeColor="accent1" w:themeShade="BF"/>
      <w:spacing w:val="5"/>
    </w:rPr>
  </w:style>
  <w:style w:type="character" w:styleId="Hyperlink">
    <w:name w:val="Hyperlink"/>
    <w:basedOn w:val="DefaultParagraphFont"/>
    <w:uiPriority w:val="99"/>
    <w:semiHidden/>
    <w:unhideWhenUsed/>
    <w:rsid w:val="004C1B27"/>
    <w:rPr>
      <w:color w:val="0000FF"/>
      <w:u w:val="single"/>
    </w:rPr>
  </w:style>
  <w:style w:type="paragraph" w:styleId="Revision">
    <w:name w:val="Revision"/>
    <w:hidden/>
    <w:uiPriority w:val="99"/>
    <w:semiHidden/>
    <w:rsid w:val="00B60E91"/>
    <w:pPr>
      <w:spacing w:after="0" w:line="240" w:lineRule="auto"/>
    </w:pPr>
  </w:style>
  <w:style w:type="character" w:styleId="FollowedHyperlink">
    <w:name w:val="FollowedHyperlink"/>
    <w:basedOn w:val="DefaultParagraphFont"/>
    <w:uiPriority w:val="99"/>
    <w:semiHidden/>
    <w:unhideWhenUsed/>
    <w:rsid w:val="007169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1412</Words>
  <Characters>8164</Characters>
  <Application>Microsoft Office Word</Application>
  <DocSecurity>0</DocSecurity>
  <Lines>170</Lines>
  <Paragraphs>86</Paragraphs>
  <ScaleCrop>false</ScaleCrop>
  <HeadingPairs>
    <vt:vector size="2" baseType="variant">
      <vt:variant>
        <vt:lpstr>Title</vt:lpstr>
      </vt:variant>
      <vt:variant>
        <vt:i4>1</vt:i4>
      </vt:variant>
    </vt:vector>
  </HeadingPairs>
  <TitlesOfParts>
    <vt:vector size="1" baseType="lpstr">
      <vt:lpstr/>
    </vt:vector>
  </TitlesOfParts>
  <Company>VUMC</Company>
  <LinksUpToDate>false</LinksUpToDate>
  <CharactersWithSpaces>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Tiffany</dc:creator>
  <cp:keywords/>
  <dc:description/>
  <cp:lastModifiedBy>Alexander, Tiffany</cp:lastModifiedBy>
  <cp:revision>2</cp:revision>
  <dcterms:created xsi:type="dcterms:W3CDTF">2026-04-02T16:33:00Z</dcterms:created>
  <dcterms:modified xsi:type="dcterms:W3CDTF">2026-04-02T16:33:00Z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2026-03-30T16:33:45Z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b188dd16-4455-44b2-86e8-83af9c95180a</vt:lpwstr>
  </property>
  <property fmtid="{D5CDD505-2E9C-101B-9397-08002B2CF9AE}" pid="8" name="MSIP_Label_792c8cef-6f2b-4af1-b4ac-d815ff795cd6_ContentBits">
    <vt:lpwstr>0</vt:lpwstr>
  </property>
  <property fmtid="{D5CDD505-2E9C-101B-9397-08002B2CF9AE}" pid="9" name="MSIP_Label_792c8cef-6f2b-4af1-b4ac-d815ff795cd6_Tag">
    <vt:lpwstr>10, 3, 0, 1</vt:lpwstr>
  </property>
</Properties>
</file>