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D90E" w14:textId="77777777" w:rsidR="001923AA" w:rsidRDefault="00C20928">
      <w:pPr>
        <w:spacing w:after="34" w:line="259" w:lineRule="auto"/>
        <w:ind w:left="13"/>
        <w:jc w:val="center"/>
      </w:pPr>
      <w:r>
        <w:rPr>
          <w:b/>
          <w:sz w:val="30"/>
        </w:rPr>
        <w:t>Minutes</w:t>
      </w:r>
    </w:p>
    <w:p w14:paraId="16CBBF9C" w14:textId="77777777" w:rsidR="001923AA" w:rsidRDefault="00C20928">
      <w:pPr>
        <w:spacing w:after="34" w:line="259" w:lineRule="auto"/>
        <w:ind w:left="13"/>
        <w:jc w:val="center"/>
      </w:pPr>
      <w:r>
        <w:rPr>
          <w:b/>
          <w:sz w:val="30"/>
        </w:rPr>
        <w:t>Institutional Review Board - Institutional Biosafety Committee for</w:t>
      </w:r>
    </w:p>
    <w:p w14:paraId="21828F20" w14:textId="77777777" w:rsidR="001923AA" w:rsidRDefault="00C20928">
      <w:pPr>
        <w:spacing w:after="34" w:line="259" w:lineRule="auto"/>
        <w:ind w:left="13"/>
        <w:jc w:val="center"/>
      </w:pPr>
      <w:r>
        <w:rPr>
          <w:b/>
          <w:sz w:val="30"/>
        </w:rPr>
        <w:t>Human Subjects Meeting - IBC</w:t>
      </w:r>
    </w:p>
    <w:p w14:paraId="28B99518" w14:textId="77777777" w:rsidR="001923AA" w:rsidRDefault="00C20928">
      <w:pPr>
        <w:spacing w:after="176" w:line="259" w:lineRule="auto"/>
        <w:ind w:left="13"/>
        <w:jc w:val="center"/>
      </w:pPr>
      <w:r>
        <w:rPr>
          <w:b/>
          <w:sz w:val="30"/>
        </w:rPr>
        <w:t>November 21, 2025</w:t>
      </w:r>
    </w:p>
    <w:p w14:paraId="729984B8" w14:textId="77777777" w:rsidR="001923AA" w:rsidRDefault="00C20928">
      <w:pPr>
        <w:spacing w:after="251" w:line="265" w:lineRule="auto"/>
        <w:ind w:left="-5" w:right="313"/>
      </w:pPr>
      <w:r>
        <w:rPr>
          <w:b/>
        </w:rPr>
        <w:t>Location:</w:t>
      </w:r>
      <w:r>
        <w:t xml:space="preserve"> Virtual</w:t>
      </w:r>
    </w:p>
    <w:p w14:paraId="0685803B" w14:textId="77777777" w:rsidR="001923AA" w:rsidRDefault="00C20928">
      <w:pPr>
        <w:spacing w:after="251" w:line="265" w:lineRule="auto"/>
        <w:ind w:left="-5" w:right="313"/>
      </w:pPr>
      <w:r>
        <w:rPr>
          <w:b/>
        </w:rPr>
        <w:t>Total Voting Members 10; Quorum 6</w:t>
      </w:r>
    </w:p>
    <w:p w14:paraId="4A9514CD" w14:textId="77777777" w:rsidR="001923AA" w:rsidRPr="001C4F24" w:rsidRDefault="00C20928">
      <w:pPr>
        <w:spacing w:after="8"/>
        <w:ind w:left="-5" w:right="48"/>
        <w:rPr>
          <w:lang w:val="es-ES"/>
        </w:rPr>
      </w:pPr>
      <w:r w:rsidRPr="001C4F24">
        <w:rPr>
          <w:b/>
          <w:lang w:val="es-ES"/>
        </w:rPr>
        <w:t>Members Present:</w:t>
      </w:r>
      <w:r w:rsidRPr="001C4F24">
        <w:rPr>
          <w:lang w:val="es-ES"/>
        </w:rPr>
        <w:t xml:space="preserve"> Ana Nobis, MD, MPH (PS), Antonios Hatzopoulos, PhD (OS), </w:t>
      </w:r>
      <w:proofErr w:type="spellStart"/>
      <w:r w:rsidRPr="001C4F24">
        <w:rPr>
          <w:lang w:val="es-ES"/>
        </w:rPr>
        <w:t>Bipin</w:t>
      </w:r>
      <w:proofErr w:type="spellEnd"/>
      <w:r w:rsidRPr="001C4F24">
        <w:rPr>
          <w:lang w:val="es-ES"/>
        </w:rPr>
        <w:t xml:space="preserve"> Savani, M.D. (PS),</w:t>
      </w:r>
    </w:p>
    <w:p w14:paraId="544BCD3F" w14:textId="77777777" w:rsidR="001923AA" w:rsidRPr="001C4F24" w:rsidRDefault="00C20928">
      <w:pPr>
        <w:spacing w:after="7"/>
        <w:ind w:left="-5" w:right="48"/>
        <w:rPr>
          <w:lang w:val="es-ES"/>
        </w:rPr>
      </w:pPr>
      <w:r w:rsidRPr="001C4F24">
        <w:rPr>
          <w:lang w:val="es-ES"/>
        </w:rPr>
        <w:t xml:space="preserve">Cary Fu, M.D. (PS), Christopher Aiken, Ph.D. (OS), Donna Torr, </w:t>
      </w:r>
      <w:proofErr w:type="spellStart"/>
      <w:r w:rsidRPr="001C4F24">
        <w:rPr>
          <w:lang w:val="es-ES"/>
        </w:rPr>
        <w:t>PharmD</w:t>
      </w:r>
      <w:proofErr w:type="spellEnd"/>
      <w:r w:rsidRPr="001C4F24">
        <w:rPr>
          <w:lang w:val="es-ES"/>
        </w:rPr>
        <w:t xml:space="preserve"> (OS), Douglas Johnson, M.D.,</w:t>
      </w:r>
    </w:p>
    <w:p w14:paraId="7B0DBC61" w14:textId="77777777" w:rsidR="001923AA" w:rsidRDefault="00C20928">
      <w:pPr>
        <w:spacing w:after="7"/>
        <w:ind w:left="-5" w:right="48"/>
      </w:pPr>
      <w:r>
        <w:t>MSCI (PS), Kimberly Towers, BS (NS), Paul Blair, MD, MDS (PS), Richard DiTullio, PhD (OS), Rolinda</w:t>
      </w:r>
    </w:p>
    <w:p w14:paraId="5900D4EA" w14:textId="77777777" w:rsidR="001923AA" w:rsidRDefault="00C20928">
      <w:pPr>
        <w:spacing w:after="249"/>
        <w:ind w:left="-5" w:right="48"/>
      </w:pPr>
      <w:r>
        <w:t>Bailey, BSMT(ASCP) (NS)</w:t>
      </w:r>
    </w:p>
    <w:p w14:paraId="0FF502A2" w14:textId="77777777" w:rsidR="001923AA" w:rsidRDefault="00C20928">
      <w:pPr>
        <w:spacing w:after="251" w:line="265" w:lineRule="auto"/>
        <w:ind w:left="-5" w:right="313"/>
      </w:pPr>
      <w:r>
        <w:rPr>
          <w:b/>
        </w:rPr>
        <w:t xml:space="preserve">Members Absent: </w:t>
      </w:r>
      <w:r>
        <w:t>None</w:t>
      </w:r>
    </w:p>
    <w:p w14:paraId="4572AA5D" w14:textId="77777777" w:rsidR="001923AA" w:rsidRDefault="00C20928">
      <w:pPr>
        <w:spacing w:after="251" w:line="265" w:lineRule="auto"/>
        <w:ind w:left="-5" w:right="313"/>
      </w:pPr>
      <w:r>
        <w:rPr>
          <w:b/>
        </w:rPr>
        <w:t xml:space="preserve">Ex-Officio Members Present: </w:t>
      </w:r>
      <w:r>
        <w:t>None</w:t>
      </w:r>
    </w:p>
    <w:p w14:paraId="5AFE7D63" w14:textId="77777777" w:rsidR="001923AA" w:rsidRDefault="00C20928">
      <w:pPr>
        <w:spacing w:after="247"/>
        <w:ind w:left="-5" w:right="48"/>
      </w:pPr>
      <w:r>
        <w:rPr>
          <w:b/>
        </w:rPr>
        <w:t>Administrative Staff Present:</w:t>
      </w:r>
      <w:r>
        <w:t xml:space="preserve"> James Arrington, BA, CIP, Karlee Sine, BS, MPH, Tiffany Alexander, MPH, BSN, RN, CIP, Xuewen Gong, B.S.</w:t>
      </w:r>
    </w:p>
    <w:p w14:paraId="701D235E" w14:textId="77777777" w:rsidR="001923AA" w:rsidRDefault="00C20928">
      <w:pPr>
        <w:spacing w:after="251" w:line="265" w:lineRule="auto"/>
        <w:ind w:left="-5" w:right="313"/>
      </w:pPr>
      <w:r>
        <w:rPr>
          <w:b/>
        </w:rPr>
        <w:t xml:space="preserve">Guests: </w:t>
      </w:r>
      <w:r>
        <w:t>None</w:t>
      </w:r>
    </w:p>
    <w:p w14:paraId="28E2B646" w14:textId="77777777" w:rsidR="001923AA" w:rsidRDefault="00C20928">
      <w:pPr>
        <w:spacing w:after="251" w:line="265" w:lineRule="auto"/>
        <w:ind w:left="-5" w:right="313"/>
      </w:pPr>
      <w:r>
        <w:rPr>
          <w:b/>
        </w:rPr>
        <w:t xml:space="preserve">Meeting Called to Order: </w:t>
      </w:r>
      <w:r>
        <w:t>8:31AM</w:t>
      </w:r>
    </w:p>
    <w:p w14:paraId="72A9BAA9" w14:textId="77777777" w:rsidR="00402B1B" w:rsidRDefault="00402B1B" w:rsidP="00402B1B">
      <w:pPr>
        <w:spacing w:after="0" w:line="265" w:lineRule="auto"/>
        <w:ind w:left="-5" w:right="313"/>
      </w:pPr>
      <w:r>
        <w:rPr>
          <w:b/>
        </w:rPr>
        <w:t>M</w:t>
      </w:r>
      <w:r w:rsidR="00C20928">
        <w:rPr>
          <w:b/>
        </w:rPr>
        <w:t xml:space="preserve">eeting Adjourned: </w:t>
      </w:r>
      <w:r w:rsidR="00C20928">
        <w:t>9:29AM</w:t>
      </w:r>
    </w:p>
    <w:p w14:paraId="42E9DB59" w14:textId="77777777" w:rsidR="00402B1B" w:rsidRDefault="00402B1B" w:rsidP="00402B1B">
      <w:pPr>
        <w:spacing w:after="0" w:line="265" w:lineRule="auto"/>
        <w:ind w:left="-5" w:right="313"/>
      </w:pPr>
    </w:p>
    <w:p w14:paraId="2CF4B416" w14:textId="34852358" w:rsidR="001923AA" w:rsidRDefault="00C20928" w:rsidP="00402B1B">
      <w:pPr>
        <w:spacing w:after="0" w:line="265" w:lineRule="auto"/>
        <w:ind w:left="0" w:right="313" w:hanging="14"/>
        <w:contextualSpacing/>
      </w:pPr>
      <w:r>
        <w:rPr>
          <w:b/>
        </w:rPr>
        <w:t>Announcements and Education</w:t>
      </w:r>
    </w:p>
    <w:p w14:paraId="42AD79CC" w14:textId="77777777" w:rsidR="001923AA" w:rsidRDefault="00C20928" w:rsidP="00402B1B">
      <w:pPr>
        <w:spacing w:after="0"/>
        <w:ind w:left="0" w:right="48" w:hanging="14"/>
        <w:contextualSpacing/>
      </w:pPr>
      <w:r>
        <w:t>Happy Thanksgiving to those who celebrate! Meeting for December will be 12/19/2025. Make sure to mark the unavailability calendar or let me know! Upcoming things: Subcommittee Form for IBC-HS is getting a makeover, will be sending out for feedback once I have a draft; BSO form for Rich is in progress.</w:t>
      </w:r>
    </w:p>
    <w:p w14:paraId="38864358" w14:textId="77777777" w:rsidR="00402B1B" w:rsidRDefault="00402B1B" w:rsidP="00402B1B">
      <w:pPr>
        <w:ind w:left="0" w:right="48" w:hanging="14"/>
        <w:contextualSpacing/>
      </w:pPr>
    </w:p>
    <w:p w14:paraId="24B8EB41" w14:textId="77777777" w:rsidR="00402B1B" w:rsidRDefault="00C20928" w:rsidP="00402B1B">
      <w:pPr>
        <w:spacing w:after="251" w:line="264" w:lineRule="auto"/>
        <w:ind w:left="0" w:right="317" w:hanging="14"/>
        <w:contextualSpacing/>
      </w:pPr>
      <w:r>
        <w:rPr>
          <w:b/>
        </w:rPr>
        <w:t>Reveal Possible Conflicts of Interest</w:t>
      </w:r>
    </w:p>
    <w:p w14:paraId="1B4821E5" w14:textId="052D5B6A" w:rsidR="00402B1B" w:rsidRDefault="00C20928" w:rsidP="00402B1B">
      <w:pPr>
        <w:spacing w:after="251" w:line="264" w:lineRule="auto"/>
        <w:ind w:left="0" w:right="317" w:hanging="14"/>
        <w:contextualSpacing/>
      </w:pPr>
      <w:r>
        <w:t>None</w:t>
      </w:r>
    </w:p>
    <w:p w14:paraId="23AF3288" w14:textId="77777777" w:rsidR="00402B1B" w:rsidRPr="00402B1B" w:rsidRDefault="00402B1B" w:rsidP="00402B1B">
      <w:pPr>
        <w:spacing w:after="251" w:line="264" w:lineRule="auto"/>
        <w:ind w:left="0" w:right="317" w:hanging="14"/>
        <w:contextualSpacing/>
      </w:pPr>
    </w:p>
    <w:p w14:paraId="0C03495F" w14:textId="470B65AB" w:rsidR="001923AA" w:rsidRDefault="00C20928" w:rsidP="00402B1B">
      <w:pPr>
        <w:spacing w:after="251" w:line="265" w:lineRule="auto"/>
        <w:ind w:left="0" w:right="313" w:hanging="14"/>
        <w:contextualSpacing/>
      </w:pPr>
      <w:r>
        <w:rPr>
          <w:b/>
        </w:rPr>
        <w:t>Review and Approval of the Previous Minutes and Review of Approvals by the Chair</w:t>
      </w:r>
    </w:p>
    <w:p w14:paraId="75227FA0" w14:textId="77777777" w:rsidR="001923AA" w:rsidRDefault="00C20928" w:rsidP="00402B1B">
      <w:pPr>
        <w:ind w:left="0" w:right="48" w:hanging="14"/>
        <w:contextualSpacing/>
      </w:pPr>
      <w:r>
        <w:t>The Chair polled the committee for corrections to the minutes for the meeting dated 9/19/2025. No changes were provided. The minutes were approved as written.</w:t>
      </w:r>
    </w:p>
    <w:p w14:paraId="62CF59FD" w14:textId="77777777" w:rsidR="00402B1B" w:rsidRDefault="00402B1B" w:rsidP="00402B1B">
      <w:pPr>
        <w:ind w:left="0" w:right="48" w:hanging="14"/>
        <w:contextualSpacing/>
      </w:pPr>
    </w:p>
    <w:p w14:paraId="1B44136B" w14:textId="77777777" w:rsidR="00402B1B" w:rsidRDefault="00402B1B" w:rsidP="00402B1B">
      <w:pPr>
        <w:ind w:left="0" w:right="48" w:hanging="14"/>
        <w:contextualSpacing/>
      </w:pPr>
    </w:p>
    <w:p w14:paraId="47870D38" w14:textId="77777777" w:rsidR="001923AA" w:rsidRDefault="00C20928">
      <w:pPr>
        <w:spacing w:after="251" w:line="265" w:lineRule="auto"/>
        <w:ind w:left="-5" w:right="313"/>
      </w:pPr>
      <w:r>
        <w:rPr>
          <w:b/>
        </w:rPr>
        <w:t>IRB#: 251463</w:t>
      </w:r>
    </w:p>
    <w:p w14:paraId="2312ECFF" w14:textId="77777777" w:rsidR="001923AA" w:rsidRDefault="00C20928">
      <w:pPr>
        <w:spacing w:after="19" w:line="265" w:lineRule="auto"/>
        <w:ind w:left="-5" w:right="313"/>
      </w:pPr>
      <w:r>
        <w:rPr>
          <w:b/>
        </w:rPr>
        <w:t>VICCCTTP 25021 (AZD0120-AL-201) A Phase 1b/2 Study of AZD0120 (also known as GC012F), a</w:t>
      </w:r>
    </w:p>
    <w:p w14:paraId="281AA956" w14:textId="77777777" w:rsidR="001923AA" w:rsidRDefault="00C20928">
      <w:pPr>
        <w:spacing w:after="19" w:line="265" w:lineRule="auto"/>
        <w:ind w:left="-5" w:right="313"/>
      </w:pPr>
      <w:r>
        <w:rPr>
          <w:b/>
        </w:rPr>
        <w:t>Chimeric Antigen Receptor T Cell Therapy Targeting CD19 and B Cell Maturation Antigen in</w:t>
      </w:r>
    </w:p>
    <w:p w14:paraId="21DF12A6" w14:textId="77777777" w:rsidR="001923AA" w:rsidRDefault="00C20928">
      <w:pPr>
        <w:spacing w:after="251" w:line="265" w:lineRule="auto"/>
        <w:ind w:left="-5" w:right="313"/>
      </w:pPr>
      <w:r>
        <w:rPr>
          <w:b/>
        </w:rPr>
        <w:t>Participants with Relapsed or Refractory AL Amyloidosis</w:t>
      </w:r>
    </w:p>
    <w:p w14:paraId="05DB2BF2" w14:textId="77777777" w:rsidR="001923AA" w:rsidRDefault="00C20928">
      <w:pPr>
        <w:spacing w:after="251" w:line="265" w:lineRule="auto"/>
        <w:ind w:left="-5" w:right="313"/>
      </w:pPr>
      <w:r>
        <w:rPr>
          <w:b/>
        </w:rPr>
        <w:t>PI: Muhamed Baljevic, MD</w:t>
      </w:r>
    </w:p>
    <w:p w14:paraId="44319AE3" w14:textId="77777777" w:rsidR="001923AA" w:rsidRDefault="00C20928">
      <w:pPr>
        <w:spacing w:after="250"/>
        <w:ind w:left="-5" w:right="48"/>
      </w:pPr>
      <w:r>
        <w:rPr>
          <w:b/>
        </w:rPr>
        <w:t>Sponsor:</w:t>
      </w:r>
      <w:r>
        <w:t xml:space="preserve"> AstraZeneca</w:t>
      </w:r>
    </w:p>
    <w:p w14:paraId="3E0FC43E" w14:textId="77777777" w:rsidR="001923AA" w:rsidRDefault="00C20928">
      <w:pPr>
        <w:spacing w:after="247"/>
        <w:ind w:left="-5" w:right="48"/>
      </w:pPr>
      <w:r>
        <w:rPr>
          <w:b/>
        </w:rPr>
        <w:lastRenderedPageBreak/>
        <w:t xml:space="preserve">Summary: </w:t>
      </w:r>
      <w:r>
        <w:t>The purpose of this study is to determine the safety and efficacy of AZD0120 in adult participants with relapsed/refractory AL amyloidosis.</w:t>
      </w:r>
    </w:p>
    <w:p w14:paraId="7DE846D3" w14:textId="77777777" w:rsidR="001923AA" w:rsidRDefault="00C20928">
      <w:pPr>
        <w:spacing w:after="251" w:line="265" w:lineRule="auto"/>
        <w:ind w:left="-5" w:right="313"/>
      </w:pPr>
      <w:r>
        <w:rPr>
          <w:b/>
        </w:rPr>
        <w:t>Subcommittee:</w:t>
      </w:r>
    </w:p>
    <w:p w14:paraId="52F217B8" w14:textId="77777777" w:rsidR="001923AA" w:rsidRDefault="00C20928">
      <w:pPr>
        <w:spacing w:after="251" w:line="265" w:lineRule="auto"/>
        <w:ind w:left="-5" w:right="313"/>
      </w:pPr>
      <w:r>
        <w:rPr>
          <w:b/>
        </w:rPr>
        <w:t>Comments:</w:t>
      </w:r>
    </w:p>
    <w:p w14:paraId="2C84CC7B" w14:textId="77777777" w:rsidR="001923AA" w:rsidRDefault="00C20928">
      <w:pPr>
        <w:ind w:left="-5" w:right="48"/>
      </w:pPr>
      <w:r>
        <w:t>A Reviewer stated, this is a phase 1b/2 study of AZD0120 (also known as GC012F), a Chimeric Antigen Receptor T Cell therapy targeting CD19 and B Cell maturation antigen in participants with relapsed or refractory AL amyloidosis. The Sponsor for the study is: AstraZeneca AB, Sweden. The Investigational Product is AZD0120. The Principal Investigator at Vanderbilt University Medical Center is Dr. Muhamed Baljevic, MD, Hematology/Oncology. All current key study personnel have the appropriate human subjects training to conduct the study.</w:t>
      </w:r>
    </w:p>
    <w:p w14:paraId="7DA54DF7" w14:textId="77777777" w:rsidR="001923AA" w:rsidRDefault="00C20928">
      <w:pPr>
        <w:ind w:left="-5" w:right="48"/>
      </w:pPr>
      <w:r>
        <w:t>This is a phase 1b/2 study (acronym ALACRITY) of AZD0120 (also known as GC012F), an autologous, dual Chimeric Antigen Receptor T-cell (CAR T) therapy against CD19 and B-cell Maturation Antigen (BCMA) in subjects with Relapsed or Refractory Amyloid light-chain (AL) Amyloidosis. GC012F was granted orphan drug designation by the Food and Drug Administration (FDA) in November 2021.</w:t>
      </w:r>
    </w:p>
    <w:p w14:paraId="42AB750E" w14:textId="426F8654" w:rsidR="001923AA" w:rsidRDefault="00C20928">
      <w:pPr>
        <w:spacing w:after="5"/>
        <w:ind w:left="-5" w:right="48"/>
      </w:pPr>
      <w:r>
        <w:t>The primary objective of the Phase 1b study is to evaluate the safety and tolerability and determine the recommended phase 2 dose (RP2D) of AZD0120 in subjects with relapsed/refractory AL Amyloidosis. The secondary objectives are to evaluate the efficacy, immunogenicity and cellular kinetics (CK) of AZD0120. The primary objective of the Phase 2 study is to evaluate efficacy.</w:t>
      </w:r>
    </w:p>
    <w:p w14:paraId="46B679EB" w14:textId="77777777" w:rsidR="001923AA" w:rsidRDefault="00C20928">
      <w:pPr>
        <w:ind w:left="-5" w:right="48"/>
      </w:pPr>
      <w:r>
        <w:t>Secondary objectives include evaluation of safety, immunogenicity and overall health effects of AZD0120.</w:t>
      </w:r>
    </w:p>
    <w:p w14:paraId="6170126C" w14:textId="77777777" w:rsidR="001923AA" w:rsidRDefault="00C20928">
      <w:pPr>
        <w:ind w:left="-5" w:right="48"/>
      </w:pPr>
      <w:r>
        <w:t>Phase 1b will recruit about 36 subjects in four dose escalation groups to determine the RP2D of AZD0120. Participants will be evaluated for Dose Limiting Toxicities (DLTs) within the first 28 days following AZD0120 infusion. Phase 2 will recruit about 79 subjects that will be followed for safety and efficacy for up to two years after AZD0120 infusion and for up to 15 years to monitor for risks of replication-competent lentivirus (RCL) and lentivirus insertion sites. A study-specific Safety Review Committee (SRC) will provide ongoing safety surveillance of the study, with regularly scheduled reviews of safety, cellular kinetic(s) (CK), and other relevant data. Safety evaluations will include adverse effects (AEs), laboratory test results, vital sign measurements, physical examination findings, and assessment of Eastern Cooperative Oncology Group (ECOG) performance status. Efficacy will be evaluated based on levels of residual disease, organ response, survival rates, etc.</w:t>
      </w:r>
    </w:p>
    <w:p w14:paraId="02509BB6" w14:textId="6E284553" w:rsidR="001923AA" w:rsidRDefault="00C20928">
      <w:pPr>
        <w:ind w:left="-5" w:right="48"/>
      </w:pPr>
      <w:r>
        <w:t>Another Reviewer noted some concerns with a few items in the informed consent documents, specifically, the subject injury language and follow up points. The Committee held discussion on these items, noting IRB purview over these specific concerns. VHRPP staff also noted that the subject injury language is part of the research template that has been vetted by the VUMC legal reviewers and is used in all greater than minimal risk studies. VHRPP staff noted this would be addressed further at the IRB review. The Reviewer also commented on the locations portion of the IBC-HS form, noting timing and content changes to the form. VHRPP staff noted this section was designed to provide where/location of different procedure points within the study, not details of how to evaluate each step. This section was for location only for the Committee to assess appropriateness of each section under the NIH Guidelines.</w:t>
      </w:r>
    </w:p>
    <w:p w14:paraId="435A5D97" w14:textId="77777777" w:rsidR="001923AA" w:rsidRDefault="00C20928">
      <w:pPr>
        <w:ind w:left="-5" w:right="48"/>
      </w:pPr>
      <w:r>
        <w:lastRenderedPageBreak/>
        <w:t>There were no Community Member, Occupational Health Reviewer or Pharmacy Reviewer comments for discussion at this time. The Biosafety Representative noted this study could be categorized under BSL-2 conditions under the NIH Guidelines. The Committee agreed all concerns had been addressed and recommended approval.</w:t>
      </w:r>
    </w:p>
    <w:p w14:paraId="7CC53CCC" w14:textId="77777777" w:rsidR="001923AA" w:rsidRDefault="00C20928">
      <w:pPr>
        <w:spacing w:after="247"/>
        <w:ind w:left="-5" w:right="48"/>
      </w:pPr>
      <w:r>
        <w:rPr>
          <w:b/>
        </w:rPr>
        <w:t xml:space="preserve">Motion: </w:t>
      </w:r>
      <w: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35BA613C" w14:textId="77777777" w:rsidR="001923AA" w:rsidRDefault="00C20928">
      <w:pPr>
        <w:spacing w:after="250"/>
        <w:ind w:left="-5" w:right="48"/>
      </w:pPr>
      <w:r>
        <w:rPr>
          <w:b/>
        </w:rPr>
        <w:t>Total votes for Approve: 11</w:t>
      </w:r>
      <w:r>
        <w:t xml:space="preserve"> (Total Members Voting: 11)</w:t>
      </w:r>
    </w:p>
    <w:p w14:paraId="4A310FD7" w14:textId="77777777" w:rsidR="001923AA" w:rsidRDefault="00C20928">
      <w:pPr>
        <w:spacing w:after="0" w:line="517" w:lineRule="auto"/>
        <w:ind w:left="-5" w:right="6024"/>
      </w:pPr>
      <w:r>
        <w:rPr>
          <w:b/>
        </w:rPr>
        <w:t>For: 11 Against: 0 Abstained: 0 Abstained:</w:t>
      </w:r>
    </w:p>
    <w:p w14:paraId="559C9EDA" w14:textId="050267CB" w:rsidR="001923AA" w:rsidRDefault="00C20928">
      <w:pPr>
        <w:spacing w:after="251" w:line="265" w:lineRule="auto"/>
        <w:ind w:left="-5" w:right="313"/>
      </w:pPr>
      <w:r>
        <w:rPr>
          <w:b/>
        </w:rPr>
        <w:t xml:space="preserve">Quorum </w:t>
      </w:r>
      <w:proofErr w:type="spellStart"/>
      <w:r>
        <w:rPr>
          <w:b/>
        </w:rPr>
        <w:t>NotesIRB</w:t>
      </w:r>
      <w:proofErr w:type="spellEnd"/>
      <w:r>
        <w:rPr>
          <w:b/>
        </w:rPr>
        <w:t>#: 251187</w:t>
      </w:r>
    </w:p>
    <w:p w14:paraId="775DE527" w14:textId="6BDA9A50" w:rsidR="001923AA" w:rsidRDefault="00C20928">
      <w:pPr>
        <w:spacing w:after="250"/>
        <w:ind w:left="-5" w:right="48"/>
      </w:pPr>
      <w:r>
        <w:rPr>
          <w:b/>
        </w:rPr>
        <w:t>Sponsor:</w:t>
      </w:r>
      <w:r>
        <w:t xml:space="preserve"> </w:t>
      </w:r>
    </w:p>
    <w:p w14:paraId="682D09F8" w14:textId="77777777" w:rsidR="001923AA" w:rsidRDefault="00C20928">
      <w:pPr>
        <w:spacing w:after="242" w:line="275" w:lineRule="auto"/>
        <w:ind w:left="0" w:firstLine="0"/>
        <w:jc w:val="both"/>
      </w:pPr>
      <w:r>
        <w:rPr>
          <w:b/>
        </w:rPr>
        <w:t xml:space="preserve">Summary: </w:t>
      </w:r>
      <w:r>
        <w:t>This Phase 1 double-blind, randomized, sham-controlled dose escalation study will test the safety and tolerability of a single dose ST-503 gene therapy through AAV9 vector in patients with refractory pain due to idiopathic small fiber neuropathy (</w:t>
      </w:r>
      <w:proofErr w:type="spellStart"/>
      <w:r>
        <w:t>iSFN</w:t>
      </w:r>
      <w:proofErr w:type="spellEnd"/>
      <w:r>
        <w:t>).</w:t>
      </w:r>
    </w:p>
    <w:p w14:paraId="22E4523A" w14:textId="77777777" w:rsidR="001923AA" w:rsidRDefault="00C20928">
      <w:pPr>
        <w:spacing w:after="251" w:line="265" w:lineRule="auto"/>
        <w:ind w:left="-5" w:right="313"/>
      </w:pPr>
      <w:r>
        <w:rPr>
          <w:b/>
        </w:rPr>
        <w:t>Subcommittee:</w:t>
      </w:r>
    </w:p>
    <w:p w14:paraId="2C333A76" w14:textId="77777777" w:rsidR="001923AA" w:rsidRDefault="00C20928">
      <w:pPr>
        <w:spacing w:after="251" w:line="265" w:lineRule="auto"/>
        <w:ind w:left="-5" w:right="313"/>
      </w:pPr>
      <w:r>
        <w:rPr>
          <w:b/>
        </w:rPr>
        <w:t>Comments:</w:t>
      </w:r>
    </w:p>
    <w:p w14:paraId="44568DF8" w14:textId="51CA06A7" w:rsidR="001923AA" w:rsidRDefault="00C20928">
      <w:pPr>
        <w:spacing w:after="9"/>
        <w:ind w:left="-5" w:right="48"/>
      </w:pPr>
      <w:r>
        <w:t xml:space="preserve">The Reviewers presented a summary and comments followed by discussion. The study population is women who are either post-menopausal or who have undergone hysterectomy, </w:t>
      </w:r>
      <w:r>
        <w:rPr>
          <w:rFonts w:ascii="Segoe UI Symbol" w:eastAsia="Segoe UI Symbol" w:hAnsi="Segoe UI Symbol" w:cs="Segoe UI Symbol"/>
        </w:rPr>
        <w:t>≥</w:t>
      </w:r>
      <w:r>
        <w:t xml:space="preserve">18 years of age with a confirmed diagnosis of </w:t>
      </w:r>
      <w:proofErr w:type="gramStart"/>
      <w:r>
        <w:t>The</w:t>
      </w:r>
      <w:proofErr w:type="gramEnd"/>
      <w:r>
        <w:t xml:space="preserve"> study aims to enroll approximately 15-27 participants across 10-12 sites. and the Vanderbilt</w:t>
      </w:r>
    </w:p>
    <w:p w14:paraId="47913969" w14:textId="77777777" w:rsidR="001923AA" w:rsidRDefault="00C20928">
      <w:pPr>
        <w:spacing w:after="7"/>
        <w:ind w:left="-5" w:right="48"/>
      </w:pPr>
      <w:r>
        <w:t>University Medical Center (VUMC) Principal Investigator (PI) is Amanda Peltier, MD, Department of</w:t>
      </w:r>
    </w:p>
    <w:p w14:paraId="29545493" w14:textId="77777777" w:rsidR="001923AA" w:rsidRDefault="00C20928">
      <w:pPr>
        <w:ind w:left="-5" w:right="48"/>
      </w:pPr>
      <w:r>
        <w:t>Neurology. All current key study personnel have the appropriate human subjects training to conduct the study.</w:t>
      </w:r>
    </w:p>
    <w:p w14:paraId="05986ABE" w14:textId="374AE3F9" w:rsidR="001923AA" w:rsidRDefault="00C20928">
      <w:pPr>
        <w:ind w:left="-5" w:right="48"/>
      </w:pPr>
      <w:r>
        <w:t>There is an estimated prevalence in the United States of 13 per 100,000 with symptoms typically developing after 50 years of age. No treatments are specifically indicated for people with less than 50% of patients achieving a pain reduction of 50% with treatment, so there is a high unmet need for more effective treatments.</w:t>
      </w:r>
    </w:p>
    <w:p w14:paraId="163C99AB" w14:textId="5C414F58" w:rsidR="001923AA" w:rsidRDefault="00C20928">
      <w:pPr>
        <w:ind w:left="-5" w:right="48"/>
      </w:pPr>
      <w:r>
        <w:t>The ICD is clear, and risks are well delineated.</w:t>
      </w:r>
    </w:p>
    <w:p w14:paraId="2DDFE454" w14:textId="77777777" w:rsidR="001923AA" w:rsidRDefault="00C20928">
      <w:pPr>
        <w:ind w:left="-5" w:right="48"/>
      </w:pPr>
      <w:r>
        <w:t xml:space="preserve">The Biosafety Representative indicated this product would be reviewed under BSL-1 conditions, but for sterility, would be prepared in a biosafety cabinet (BSL-2). The Occupational Health Reviewer, Secondary </w:t>
      </w:r>
      <w:r>
        <w:lastRenderedPageBreak/>
        <w:t>Reviewer and Community Members indicated no specific biosafety issues. The Committee agreed there were no biosafety issues to note and recommended approval under the NIH Guidelines with BSL-1 conditions.</w:t>
      </w:r>
    </w:p>
    <w:p w14:paraId="01472EA1" w14:textId="77777777" w:rsidR="001923AA" w:rsidRDefault="00C20928">
      <w:pPr>
        <w:spacing w:after="247"/>
        <w:ind w:left="-5" w:right="48"/>
      </w:pPr>
      <w:r>
        <w:rPr>
          <w:b/>
        </w:rPr>
        <w:t xml:space="preserve">Motion: </w:t>
      </w:r>
      <w: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22D48E3D" w14:textId="77777777" w:rsidR="001923AA" w:rsidRDefault="00C20928">
      <w:pPr>
        <w:spacing w:after="250"/>
        <w:ind w:left="-5" w:right="48"/>
      </w:pPr>
      <w:r>
        <w:rPr>
          <w:b/>
        </w:rPr>
        <w:t>Total votes for Approve: 11</w:t>
      </w:r>
      <w:r>
        <w:t xml:space="preserve"> (Total Members Voting: 11)</w:t>
      </w:r>
    </w:p>
    <w:p w14:paraId="4F617308" w14:textId="77777777" w:rsidR="001923AA" w:rsidRDefault="00C20928">
      <w:pPr>
        <w:spacing w:after="0" w:line="517" w:lineRule="auto"/>
        <w:ind w:left="-5" w:right="6024"/>
      </w:pPr>
      <w:r>
        <w:rPr>
          <w:b/>
        </w:rPr>
        <w:t>For: 11 Against: 0 Abstained: 0 Abstained:</w:t>
      </w:r>
    </w:p>
    <w:p w14:paraId="6886DA13" w14:textId="77777777" w:rsidR="001923AA" w:rsidRDefault="00C20928">
      <w:pPr>
        <w:spacing w:after="1278" w:line="265" w:lineRule="auto"/>
        <w:ind w:left="-5" w:right="313"/>
      </w:pPr>
      <w:r>
        <w:rPr>
          <w:b/>
        </w:rPr>
        <w:t>Quorum Notes</w:t>
      </w:r>
    </w:p>
    <w:p w14:paraId="1868FD19" w14:textId="77777777" w:rsidR="001923AA" w:rsidRDefault="00C20928">
      <w:pPr>
        <w:spacing w:after="251" w:line="265" w:lineRule="auto"/>
        <w:ind w:left="-5" w:right="313"/>
      </w:pPr>
      <w:r>
        <w:rPr>
          <w:b/>
        </w:rPr>
        <w:t>IRB#: 251068</w:t>
      </w:r>
    </w:p>
    <w:p w14:paraId="0EC254AB" w14:textId="508DBB9C" w:rsidR="001923AA" w:rsidRDefault="00C20928">
      <w:pPr>
        <w:spacing w:after="118" w:line="400" w:lineRule="auto"/>
        <w:ind w:left="-5" w:right="313"/>
      </w:pPr>
      <w:r>
        <w:rPr>
          <w:b/>
        </w:rPr>
        <w:t>Protocol # J3Z-MC-OJAA - A Phase 1/2a Open-Label Ascending Dose Study to Evaluate the Safety and Effects of LY3884961 in Patients with Parkinson</w:t>
      </w:r>
      <w:r w:rsidR="00EB04FF">
        <w:rPr>
          <w:b/>
        </w:rPr>
        <w:t>’</w:t>
      </w:r>
      <w:r>
        <w:rPr>
          <w:b/>
        </w:rPr>
        <w:t>s Disease with at Least One GBA1 Mutation PI: Amy Brown, MD</w:t>
      </w:r>
    </w:p>
    <w:p w14:paraId="5036DA85" w14:textId="77777777" w:rsidR="001923AA" w:rsidRDefault="00C20928">
      <w:pPr>
        <w:spacing w:after="250"/>
        <w:ind w:left="-5" w:right="48"/>
      </w:pPr>
      <w:r>
        <w:rPr>
          <w:b/>
        </w:rPr>
        <w:t>Sponsor:</w:t>
      </w:r>
      <w:r>
        <w:t xml:space="preserve"> Prevail Therapeutics, Lilly USA LLC</w:t>
      </w:r>
    </w:p>
    <w:p w14:paraId="6369F535" w14:textId="686324F0" w:rsidR="001923AA" w:rsidRDefault="00C20928">
      <w:pPr>
        <w:spacing w:after="247"/>
        <w:ind w:left="-5" w:right="48"/>
      </w:pPr>
      <w:r>
        <w:rPr>
          <w:b/>
        </w:rPr>
        <w:t xml:space="preserve">Summary: </w:t>
      </w:r>
      <w:r>
        <w:t xml:space="preserve">Participants in the moderate to severe stages of Parkinsons disease will receive one dose of LY3884961, an investigational gene therapy product, by injection into the cisterna magna to find out what effects, good or bad, this gene product has on Parkinsons. </w:t>
      </w:r>
    </w:p>
    <w:p w14:paraId="72F0EABC" w14:textId="77777777" w:rsidR="001923AA" w:rsidRDefault="00C20928">
      <w:pPr>
        <w:spacing w:after="251" w:line="265" w:lineRule="auto"/>
        <w:ind w:left="-5" w:right="313"/>
      </w:pPr>
      <w:r>
        <w:rPr>
          <w:b/>
        </w:rPr>
        <w:t>Subcommittee:</w:t>
      </w:r>
    </w:p>
    <w:p w14:paraId="1F6A3180" w14:textId="77777777" w:rsidR="001923AA" w:rsidRDefault="00C20928">
      <w:pPr>
        <w:spacing w:after="251" w:line="265" w:lineRule="auto"/>
        <w:ind w:left="-5" w:right="313"/>
      </w:pPr>
      <w:r>
        <w:rPr>
          <w:b/>
        </w:rPr>
        <w:t>Comments:</w:t>
      </w:r>
    </w:p>
    <w:p w14:paraId="47F9B113" w14:textId="273CA1B8" w:rsidR="001923AA" w:rsidRDefault="00C20928">
      <w:pPr>
        <w:ind w:left="-5" w:right="48"/>
      </w:pPr>
      <w:r>
        <w:t xml:space="preserve">The Reviewers presented a summary and comments followed by discussion. A Reviewer stated this is a phase 1/2a open-label ascending dose study to evaluate the safety and effects of LY3884961 in patients with Parkinsons Disease with at least one GBA1 mutation. The Sponsor is Prevail Therapeutics, a </w:t>
      </w:r>
      <w:proofErr w:type="gramStart"/>
      <w:r>
        <w:t>wholly-owned</w:t>
      </w:r>
      <w:proofErr w:type="gramEnd"/>
      <w:r>
        <w:t xml:space="preserve"> subsidiary of Eli Lilly and Company. The Principal Investigator is Amy Brown, MD, with the Neuro-Movement Disorders Division at Vanderbilt University Medical Center. All current key study personnel have the appropriate human subjects training to conduct the study.</w:t>
      </w:r>
    </w:p>
    <w:p w14:paraId="510AFADF" w14:textId="3E8D0027" w:rsidR="001923AA" w:rsidRDefault="00C20928">
      <w:pPr>
        <w:ind w:left="-5" w:right="48"/>
      </w:pPr>
      <w:r>
        <w:t xml:space="preserve">LY3884961 (previously referred to as PR001A) is the investigational biological agent, adeno-associated virus (AAV) serotype 9 (rAAV9.CBA.GBA1), a nonreplicating recombinant AAV of serotype 9 (rAAV9), which expresses human glucocerebrosidase-1 (GBA1). </w:t>
      </w:r>
    </w:p>
    <w:p w14:paraId="2D47161A" w14:textId="77777777" w:rsidR="001923AA" w:rsidRDefault="00C20928">
      <w:pPr>
        <w:ind w:left="-5" w:right="48"/>
      </w:pPr>
      <w:r>
        <w:lastRenderedPageBreak/>
        <w:t>Currently, there are two ongoing Phase 1/2a studies evaluating LY3884961 delivered by intra-cisterna magna (ICM) injection in subjects with PD-GBA (J3Z-MC-OJAA, formerly PRV-PD101) and GD2 (J3Z-MC-OJAB, formerly PRV-GD2-101). A Phase 1/2 study to assess the safety, tolerability, and efficacy of systemically delivered LY3884961 in subjects with peripheral manifestations of GD is ongoing (Study J3Z-MC-OJAE).</w:t>
      </w:r>
    </w:p>
    <w:p w14:paraId="1B27BC2A" w14:textId="77777777" w:rsidR="001923AA" w:rsidRDefault="00C20928">
      <w:pPr>
        <w:ind w:left="-5" w:right="48"/>
      </w:pPr>
      <w:r>
        <w:t>Parkinson's disease is a common movement disorder (lifetime risk 1% to 2%) classically characterized by motor symptoms and gait impairment and progressing to more severe neuropsychiatric symptoms, cognitive impairment, and dementia in later stages of the disease.</w:t>
      </w:r>
    </w:p>
    <w:p w14:paraId="6935920E" w14:textId="5DA5CDD7" w:rsidR="001923AA" w:rsidRDefault="00C20928">
      <w:pPr>
        <w:ind w:left="-5" w:right="48"/>
      </w:pPr>
      <w:r>
        <w:t>The Reviewer noted no specific biosafety concerns of note.</w:t>
      </w:r>
    </w:p>
    <w:p w14:paraId="4731198C" w14:textId="77777777" w:rsidR="001923AA" w:rsidRDefault="00C20928">
      <w:pPr>
        <w:ind w:left="-5" w:right="48"/>
      </w:pPr>
      <w:r>
        <w:t>Another Reviewer agreed with these comments and had nothing additional to include for this study. There were no concerns for discussion from the Occupational Health Reviewer or Community Members. The Pharmacy Reviewer noted no pharmacy concerns. Per VUMC policy, all gene therapies are to be handled as hazardous so while this is a BSL-1 it will need to be prepared in a biosafety cabinet. The Biosafety Representative agreed with the conditions for preparation and sterility.</w:t>
      </w:r>
    </w:p>
    <w:p w14:paraId="41ADF05E" w14:textId="77777777" w:rsidR="001923AA" w:rsidRDefault="00C20928">
      <w:pPr>
        <w:spacing w:after="1785"/>
        <w:ind w:left="-5" w:right="48"/>
      </w:pPr>
      <w:r>
        <w:t>The Committee agreed there were no issues to impact the study and recommended approval.</w:t>
      </w:r>
    </w:p>
    <w:p w14:paraId="48EB1E30" w14:textId="77777777" w:rsidR="001923AA" w:rsidRDefault="00C20928">
      <w:pPr>
        <w:spacing w:after="247"/>
        <w:ind w:left="-5" w:right="48"/>
      </w:pPr>
      <w:r>
        <w:rPr>
          <w:b/>
        </w:rPr>
        <w:t xml:space="preserve">Motion: </w:t>
      </w:r>
      <w:r>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7EF201AF" w14:textId="77777777" w:rsidR="001923AA" w:rsidRDefault="00C20928">
      <w:pPr>
        <w:spacing w:after="250"/>
        <w:ind w:left="-5" w:right="48"/>
      </w:pPr>
      <w:r>
        <w:rPr>
          <w:b/>
        </w:rPr>
        <w:t>Total votes for Approve: 11</w:t>
      </w:r>
      <w:r>
        <w:t xml:space="preserve"> (Total Members Voting: 11)</w:t>
      </w:r>
    </w:p>
    <w:p w14:paraId="25378625" w14:textId="77777777" w:rsidR="001923AA" w:rsidRDefault="00C20928">
      <w:pPr>
        <w:spacing w:after="0" w:line="517" w:lineRule="auto"/>
        <w:ind w:left="-5" w:right="6024"/>
      </w:pPr>
      <w:r>
        <w:rPr>
          <w:b/>
        </w:rPr>
        <w:t>For: 11 Against: 0 Abstained: 0 Abstained:</w:t>
      </w:r>
    </w:p>
    <w:p w14:paraId="5E21FEC0" w14:textId="77777777" w:rsidR="001923AA" w:rsidRDefault="00C20928">
      <w:pPr>
        <w:spacing w:after="1278" w:line="265" w:lineRule="auto"/>
        <w:ind w:left="-5" w:right="313"/>
      </w:pPr>
      <w:r>
        <w:rPr>
          <w:b/>
        </w:rPr>
        <w:t>Quorum Notes</w:t>
      </w:r>
    </w:p>
    <w:p w14:paraId="5936E643" w14:textId="77777777" w:rsidR="001923AA" w:rsidRDefault="00C20928">
      <w:pPr>
        <w:spacing w:after="251" w:line="265" w:lineRule="auto"/>
        <w:ind w:left="-5" w:right="313"/>
      </w:pPr>
      <w:r>
        <w:rPr>
          <w:b/>
        </w:rPr>
        <w:t>IRB#: 251539</w:t>
      </w:r>
    </w:p>
    <w:p w14:paraId="2A2C825D" w14:textId="77777777" w:rsidR="001923AA" w:rsidRDefault="00C20928">
      <w:pPr>
        <w:spacing w:after="19" w:line="265" w:lineRule="auto"/>
        <w:ind w:left="-5" w:right="313"/>
      </w:pPr>
      <w:r>
        <w:rPr>
          <w:b/>
        </w:rPr>
        <w:t xml:space="preserve">CTT25034 A Phase 1/2 Multi-Center Study Evaluating </w:t>
      </w:r>
      <w:proofErr w:type="gramStart"/>
      <w:r>
        <w:rPr>
          <w:b/>
        </w:rPr>
        <w:t>The</w:t>
      </w:r>
      <w:proofErr w:type="gramEnd"/>
      <w:r>
        <w:rPr>
          <w:b/>
        </w:rPr>
        <w:t xml:space="preserve"> Safety </w:t>
      </w:r>
      <w:proofErr w:type="gramStart"/>
      <w:r>
        <w:rPr>
          <w:b/>
        </w:rPr>
        <w:t>And</w:t>
      </w:r>
      <w:proofErr w:type="gramEnd"/>
      <w:r>
        <w:rPr>
          <w:b/>
        </w:rPr>
        <w:t xml:space="preserve"> Efficacy </w:t>
      </w:r>
      <w:proofErr w:type="gramStart"/>
      <w:r>
        <w:rPr>
          <w:b/>
        </w:rPr>
        <w:t>Of</w:t>
      </w:r>
      <w:proofErr w:type="gramEnd"/>
      <w:r>
        <w:rPr>
          <w:b/>
        </w:rPr>
        <w:t xml:space="preserve"> LYL314, A</w:t>
      </w:r>
    </w:p>
    <w:p w14:paraId="08920474" w14:textId="77777777" w:rsidR="001923AA" w:rsidRDefault="00C20928">
      <w:pPr>
        <w:spacing w:after="118" w:line="400" w:lineRule="auto"/>
        <w:ind w:left="-5" w:right="49"/>
      </w:pPr>
      <w:r>
        <w:rPr>
          <w:b/>
        </w:rPr>
        <w:lastRenderedPageBreak/>
        <w:t xml:space="preserve">CD19/CD20 Dual-Targeting Chimeric Antigen Receptor T Cell Therapy </w:t>
      </w:r>
      <w:proofErr w:type="gramStart"/>
      <w:r>
        <w:rPr>
          <w:b/>
        </w:rPr>
        <w:t>In</w:t>
      </w:r>
      <w:proofErr w:type="gramEnd"/>
      <w:r>
        <w:rPr>
          <w:b/>
        </w:rPr>
        <w:t xml:space="preserve"> Participants </w:t>
      </w:r>
      <w:proofErr w:type="gramStart"/>
      <w:r>
        <w:rPr>
          <w:b/>
        </w:rPr>
        <w:t>With</w:t>
      </w:r>
      <w:proofErr w:type="gramEnd"/>
      <w:r>
        <w:rPr>
          <w:b/>
        </w:rPr>
        <w:t xml:space="preserve"> Aggressive B-Cell Non-Hodgkin Lymphoma PI: Bhagirathbhai Dholaria, MD</w:t>
      </w:r>
    </w:p>
    <w:p w14:paraId="64C1815F" w14:textId="77777777" w:rsidR="001923AA" w:rsidRDefault="00C20928">
      <w:pPr>
        <w:spacing w:after="250"/>
        <w:ind w:left="-5" w:right="48"/>
      </w:pPr>
      <w:r>
        <w:rPr>
          <w:b/>
        </w:rPr>
        <w:t>Sponsor:</w:t>
      </w:r>
      <w:r>
        <w:t xml:space="preserve"> Lyell </w:t>
      </w:r>
      <w:proofErr w:type="spellStart"/>
      <w:r>
        <w:t>Immunopharma</w:t>
      </w:r>
      <w:proofErr w:type="spellEnd"/>
    </w:p>
    <w:p w14:paraId="6E8D124B" w14:textId="77777777" w:rsidR="001923AA" w:rsidRDefault="00C20928">
      <w:pPr>
        <w:spacing w:after="247"/>
        <w:ind w:left="-5" w:right="48"/>
      </w:pPr>
      <w:r>
        <w:rPr>
          <w:b/>
        </w:rPr>
        <w:t xml:space="preserve">Summary: </w:t>
      </w:r>
      <w:r>
        <w:t xml:space="preserve">This study is being performed to assess the safety, tolerability, and preliminary clinical effects of a single dose of LYL314 administered to patients with aggressive B-cell non-Hodgkin lymphoma, including DLBCL, </w:t>
      </w:r>
      <w:proofErr w:type="spellStart"/>
      <w:r>
        <w:t>tFL</w:t>
      </w:r>
      <w:proofErr w:type="spellEnd"/>
      <w:r>
        <w:t>, FL3B, PMBCL, and HGBL after lymphodepleting chemotherapy.</w:t>
      </w:r>
    </w:p>
    <w:p w14:paraId="3503BFF5" w14:textId="77777777" w:rsidR="001923AA" w:rsidRDefault="00C20928">
      <w:pPr>
        <w:spacing w:after="251" w:line="265" w:lineRule="auto"/>
        <w:ind w:left="-5" w:right="313"/>
      </w:pPr>
      <w:r>
        <w:rPr>
          <w:b/>
        </w:rPr>
        <w:t>Subcommittee:</w:t>
      </w:r>
    </w:p>
    <w:p w14:paraId="6BE7E574" w14:textId="77777777" w:rsidR="001923AA" w:rsidRDefault="00C20928">
      <w:pPr>
        <w:spacing w:after="251" w:line="265" w:lineRule="auto"/>
        <w:ind w:left="-5" w:right="313"/>
      </w:pPr>
      <w:r>
        <w:rPr>
          <w:b/>
        </w:rPr>
        <w:t>Comments:</w:t>
      </w:r>
    </w:p>
    <w:p w14:paraId="3A5A8FF9" w14:textId="77777777" w:rsidR="001923AA" w:rsidRDefault="00C20928">
      <w:pPr>
        <w:ind w:left="-5" w:right="48"/>
      </w:pPr>
      <w:r>
        <w:t xml:space="preserve">The Reviewers presented a summary and background of the study for comment and discussion. The Reviewer stated that this is a study of dual targeted Chimeric Antigen Receptor (CAR) T cell for CD19 and CD20 in several B cell lymphomas. The study Sponsor is Lyell </w:t>
      </w:r>
      <w:proofErr w:type="spellStart"/>
      <w:r>
        <w:t>Immunopharma</w:t>
      </w:r>
      <w:proofErr w:type="spellEnd"/>
      <w:r>
        <w:t xml:space="preserve">, under the direction of Dr. Bhagirathbhai Dholaria, MD with Hematology/Oncology at Vanderbilt University Medical Center. All current key study personnel have the current human subjects training </w:t>
      </w:r>
      <w:proofErr w:type="gramStart"/>
      <w:r>
        <w:t>in order to</w:t>
      </w:r>
      <w:proofErr w:type="gramEnd"/>
      <w:r>
        <w:t xml:space="preserve"> conduct the study.</w:t>
      </w:r>
    </w:p>
    <w:p w14:paraId="3F520E9C" w14:textId="41427531" w:rsidR="001923AA" w:rsidRDefault="00C20928">
      <w:pPr>
        <w:spacing w:after="240"/>
        <w:ind w:left="-5" w:right="48"/>
      </w:pPr>
      <w:r>
        <w:t xml:space="preserve">Phase One (which VUMC is not participating) is three plus three </w:t>
      </w:r>
      <w:proofErr w:type="gramStart"/>
      <w:r>
        <w:t>design</w:t>
      </w:r>
      <w:proofErr w:type="gramEnd"/>
      <w:r>
        <w:t xml:space="preserve"> with expansion in multiple cohorts. Phase II of the study is up to 120 patients with two plus prior lines of therapy. Therapy </w:t>
      </w:r>
      <w:proofErr w:type="gramStart"/>
      <w:r>
        <w:t>includes:</w:t>
      </w:r>
      <w:proofErr w:type="gramEnd"/>
      <w:r>
        <w:t xml:space="preserve"> standard leukapheresis and conditioning chemotherapy; single dose of CAR-T administration; and monitoring. The study has optional second course. The Reviewer had no specific biosafety concerns.</w:t>
      </w:r>
    </w:p>
    <w:p w14:paraId="4A0757A1" w14:textId="77777777" w:rsidR="001923AA" w:rsidRDefault="00C20928">
      <w:pPr>
        <w:spacing w:after="251" w:line="259" w:lineRule="auto"/>
        <w:ind w:left="0" w:firstLine="0"/>
      </w:pPr>
      <w:r>
        <w:t xml:space="preserve"> </w:t>
      </w:r>
    </w:p>
    <w:p w14:paraId="68E1C657" w14:textId="7BD1B1F1" w:rsidR="001923AA" w:rsidRDefault="001923AA">
      <w:pPr>
        <w:spacing w:after="251" w:line="259" w:lineRule="auto"/>
        <w:ind w:left="0" w:firstLine="0"/>
      </w:pPr>
    </w:p>
    <w:p w14:paraId="3882E96C" w14:textId="5E102F4E" w:rsidR="001923AA" w:rsidRDefault="00C20928">
      <w:pPr>
        <w:spacing w:after="240"/>
        <w:ind w:left="-5" w:right="48"/>
      </w:pPr>
      <w:r>
        <w:t xml:space="preserve">VHRPP staff confirmed that the FDA requires a minimum of 15 years long term follow up period for research studies using investigational products. </w:t>
      </w:r>
    </w:p>
    <w:p w14:paraId="1141AAB4" w14:textId="77777777" w:rsidR="001923AA" w:rsidRDefault="00C20928">
      <w:pPr>
        <w:spacing w:after="251" w:line="259" w:lineRule="auto"/>
        <w:ind w:left="0" w:firstLine="0"/>
      </w:pPr>
      <w:r>
        <w:t xml:space="preserve"> </w:t>
      </w:r>
    </w:p>
    <w:p w14:paraId="1F3E8665" w14:textId="77777777" w:rsidR="001923AA" w:rsidRDefault="00C20928">
      <w:pPr>
        <w:ind w:left="-5" w:right="48"/>
      </w:pPr>
      <w:r>
        <w:t xml:space="preserve">There were no comments for discussion from the Pharmacy Reviewer, Occupational Health Reviewer, or Community Members. The Biosafety Representative noted that Biosafety level 2 (BSL-2) practices and containment are recommended. The Committee agreed that there were no issues to impact biosafety and recommended approval under the NIH Guidelines pending </w:t>
      </w:r>
      <w:proofErr w:type="gramStart"/>
      <w:r>
        <w:t>aforementioned request</w:t>
      </w:r>
      <w:proofErr w:type="gramEnd"/>
      <w:r>
        <w:t>.</w:t>
      </w:r>
    </w:p>
    <w:p w14:paraId="3CB6A3B6" w14:textId="77777777" w:rsidR="001923AA" w:rsidRDefault="00C20928">
      <w:pPr>
        <w:spacing w:after="8"/>
        <w:ind w:left="-5" w:right="48"/>
      </w:pPr>
      <w:r>
        <w:rPr>
          <w:b/>
        </w:rPr>
        <w:t xml:space="preserve">Motion: </w:t>
      </w:r>
      <w:r>
        <w:t>The Committee found that the requirements for protocol submission, review, and reporting per</w:t>
      </w:r>
    </w:p>
    <w:p w14:paraId="45B360D9" w14:textId="77777777" w:rsidR="001923AA" w:rsidRDefault="00C20928">
      <w:pPr>
        <w:spacing w:after="247"/>
        <w:ind w:left="-5" w:right="48"/>
      </w:pPr>
      <w:r>
        <w:t>Section III-C and section III-C-1 NIH Guidelines for Research Involving Recombinant or Synthetic Nucleic Acid Molecules have not been met. Approval is pending review and approval of the requested changes above.</w:t>
      </w:r>
    </w:p>
    <w:p w14:paraId="0D97359C" w14:textId="77777777" w:rsidR="001923AA" w:rsidRDefault="00C20928">
      <w:pPr>
        <w:spacing w:after="251" w:line="265" w:lineRule="auto"/>
        <w:ind w:left="-5" w:right="313"/>
      </w:pPr>
      <w:r>
        <w:rPr>
          <w:b/>
        </w:rPr>
        <w:t>Total votes for Approve Pending Changes: 10</w:t>
      </w:r>
      <w:r>
        <w:t xml:space="preserve"> (Total Members Voting: 10)</w:t>
      </w:r>
    </w:p>
    <w:p w14:paraId="7CF04DCD" w14:textId="77777777" w:rsidR="001923AA" w:rsidRDefault="00C20928">
      <w:pPr>
        <w:spacing w:after="0" w:line="517" w:lineRule="auto"/>
        <w:ind w:left="-5" w:right="6024"/>
      </w:pPr>
      <w:r>
        <w:rPr>
          <w:b/>
        </w:rPr>
        <w:t>For: 10 Against: 0 Abstained: 0 Abstained:</w:t>
      </w:r>
    </w:p>
    <w:p w14:paraId="29E5B127" w14:textId="77777777" w:rsidR="001923AA" w:rsidRDefault="00C20928">
      <w:pPr>
        <w:spacing w:after="251" w:line="265" w:lineRule="auto"/>
        <w:ind w:left="-5" w:right="313"/>
      </w:pPr>
      <w:r>
        <w:rPr>
          <w:b/>
        </w:rPr>
        <w:lastRenderedPageBreak/>
        <w:t>Quorum Notes</w:t>
      </w:r>
    </w:p>
    <w:p w14:paraId="6BC9EC6C" w14:textId="77777777" w:rsidR="001923AA" w:rsidRDefault="00C20928">
      <w:pPr>
        <w:spacing w:after="242"/>
        <w:ind w:left="-5" w:right="48"/>
      </w:pPr>
      <w:r>
        <w:t>Dr. Bipin Savani was not present for the discussion or vote. Quorum was maintained.</w:t>
      </w:r>
    </w:p>
    <w:p w14:paraId="3C7FE179" w14:textId="2DF3AD49" w:rsidR="001923AA" w:rsidRDefault="001923AA">
      <w:pPr>
        <w:spacing w:after="0"/>
        <w:ind w:left="-5" w:right="48"/>
      </w:pPr>
    </w:p>
    <w:sectPr w:rsidR="001923AA">
      <w:headerReference w:type="even" r:id="rId6"/>
      <w:headerReference w:type="default" r:id="rId7"/>
      <w:footerReference w:type="even" r:id="rId8"/>
      <w:footerReference w:type="default" r:id="rId9"/>
      <w:headerReference w:type="first" r:id="rId10"/>
      <w:footerReference w:type="first" r:id="rId11"/>
      <w:pgSz w:w="11906" w:h="16838"/>
      <w:pgMar w:top="1199" w:right="854" w:bottom="1503" w:left="850" w:header="69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D15CA" w14:textId="77777777" w:rsidR="00A56E2C" w:rsidRDefault="00A56E2C">
      <w:pPr>
        <w:spacing w:after="0" w:line="240" w:lineRule="auto"/>
      </w:pPr>
      <w:r>
        <w:separator/>
      </w:r>
    </w:p>
  </w:endnote>
  <w:endnote w:type="continuationSeparator" w:id="0">
    <w:p w14:paraId="31D6822F" w14:textId="77777777" w:rsidR="00A56E2C" w:rsidRDefault="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7FEEA" w14:textId="77777777" w:rsidR="001923AA" w:rsidRDefault="00C20928">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07BF91A" wp14:editId="0F103D5B">
              <wp:simplePos x="0" y="0"/>
              <wp:positionH relativeFrom="page">
                <wp:posOffset>540004</wp:posOffset>
              </wp:positionH>
              <wp:positionV relativeFrom="page">
                <wp:posOffset>10055607</wp:posOffset>
              </wp:positionV>
              <wp:extent cx="6480049" cy="7201"/>
              <wp:effectExtent l="0" t="0" r="0" b="0"/>
              <wp:wrapSquare wrapText="bothSides"/>
              <wp:docPr id="7562" name="Group 7562"/>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63" name="Shape 7563"/>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62" style="width:510.24pt;height:0.567pt;position:absolute;mso-position-horizontal-relative:page;mso-position-horizontal:absolute;margin-left:42.52pt;mso-position-vertical-relative:page;margin-top:791.78pt;" coordsize="64800,72">
              <v:shape id="Shape 7563"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B83B" w14:textId="77777777" w:rsidR="001923AA" w:rsidRDefault="00C20928">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D0E768A" wp14:editId="2EE68BF6">
              <wp:simplePos x="0" y="0"/>
              <wp:positionH relativeFrom="page">
                <wp:posOffset>540004</wp:posOffset>
              </wp:positionH>
              <wp:positionV relativeFrom="page">
                <wp:posOffset>10055607</wp:posOffset>
              </wp:positionV>
              <wp:extent cx="6480049" cy="7201"/>
              <wp:effectExtent l="0" t="0" r="0" b="0"/>
              <wp:wrapSquare wrapText="bothSides"/>
              <wp:docPr id="7543" name="Group 7543"/>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44" name="Shape 7544"/>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43" style="width:510.24pt;height:0.567pt;position:absolute;mso-position-horizontal-relative:page;mso-position-horizontal:absolute;margin-left:42.52pt;mso-position-vertical-relative:page;margin-top:791.78pt;" coordsize="64800,72">
              <v:shape id="Shape 7544"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F0C0D" w14:textId="77777777" w:rsidR="001923AA" w:rsidRDefault="00C20928">
    <w:pPr>
      <w:tabs>
        <w:tab w:val="right" w:pos="10202"/>
      </w:tabs>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D426C0C" wp14:editId="5837E678">
              <wp:simplePos x="0" y="0"/>
              <wp:positionH relativeFrom="page">
                <wp:posOffset>540004</wp:posOffset>
              </wp:positionH>
              <wp:positionV relativeFrom="page">
                <wp:posOffset>10055607</wp:posOffset>
              </wp:positionV>
              <wp:extent cx="6480049" cy="7201"/>
              <wp:effectExtent l="0" t="0" r="0" b="0"/>
              <wp:wrapSquare wrapText="bothSides"/>
              <wp:docPr id="7524" name="Group 7524"/>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25" name="Shape 7525"/>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24" style="width:510.24pt;height:0.567pt;position:absolute;mso-position-horizontal-relative:page;mso-position-horizontal:absolute;margin-left:42.52pt;mso-position-vertical-relative:page;margin-top:791.78pt;" coordsize="64800,72">
              <v:shape id="Shape 7525" style="position:absolute;width:64800;height:0;left:0;top:0;" coordsize="6480049,0" path="m0,0l6480049,0">
                <v:stroke weight="0.567pt" endcap="flat" joinstyle="miter" miterlimit="10" on="true" color="#888888"/>
                <v:fill on="false" color="#000000" opacity="0"/>
              </v:shape>
              <w10:wrap type="square"/>
            </v:group>
          </w:pict>
        </mc:Fallback>
      </mc:AlternateContent>
    </w:r>
    <w:r>
      <w:rPr>
        <w:sz w:val="18"/>
      </w:rPr>
      <w:t>This is confidential and privileged peer review materials pursuant to TCA § 62-1-202.</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Pr>
          <w:sz w:val="18"/>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F862" w14:textId="77777777" w:rsidR="00A56E2C" w:rsidRDefault="00A56E2C">
      <w:pPr>
        <w:spacing w:after="0" w:line="240" w:lineRule="auto"/>
      </w:pPr>
      <w:r>
        <w:separator/>
      </w:r>
    </w:p>
  </w:footnote>
  <w:footnote w:type="continuationSeparator" w:id="0">
    <w:p w14:paraId="6EBD4B2C" w14:textId="77777777" w:rsidR="00A56E2C" w:rsidRDefault="00A56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86E8" w14:textId="77777777" w:rsidR="001923AA" w:rsidRDefault="00C20928">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C52303C" wp14:editId="281170C6">
              <wp:simplePos x="0" y="0"/>
              <wp:positionH relativeFrom="page">
                <wp:posOffset>540004</wp:posOffset>
              </wp:positionH>
              <wp:positionV relativeFrom="page">
                <wp:posOffset>438277</wp:posOffset>
              </wp:positionV>
              <wp:extent cx="6480049" cy="7201"/>
              <wp:effectExtent l="0" t="0" r="0" b="0"/>
              <wp:wrapSquare wrapText="bothSides"/>
              <wp:docPr id="7549" name="Group 7549"/>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50" name="Shape 7550"/>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49" style="width:510.24pt;height:0.567pt;position:absolute;mso-position-horizontal-relative:page;mso-position-horizontal:absolute;margin-left:42.52pt;mso-position-vertical-relative:page;margin-top:34.51pt;" coordsize="64800,72">
              <v:shape id="Shape 7550"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3530" w14:textId="77777777" w:rsidR="001923AA" w:rsidRDefault="00C20928">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2022E3" wp14:editId="2BE738D4">
              <wp:simplePos x="0" y="0"/>
              <wp:positionH relativeFrom="page">
                <wp:posOffset>540004</wp:posOffset>
              </wp:positionH>
              <wp:positionV relativeFrom="page">
                <wp:posOffset>438277</wp:posOffset>
              </wp:positionV>
              <wp:extent cx="6480049" cy="7201"/>
              <wp:effectExtent l="0" t="0" r="0" b="0"/>
              <wp:wrapSquare wrapText="bothSides"/>
              <wp:docPr id="7530" name="Group 7530"/>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31" name="Shape 7531"/>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30" style="width:510.24pt;height:0.567pt;position:absolute;mso-position-horizontal-relative:page;mso-position-horizontal:absolute;margin-left:42.52pt;mso-position-vertical-relative:page;margin-top:34.51pt;" coordsize="64800,72">
              <v:shape id="Shape 7531"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0469" w14:textId="77777777" w:rsidR="001923AA" w:rsidRDefault="00C20928">
    <w:pPr>
      <w:spacing w:after="0" w:line="259" w:lineRule="auto"/>
      <w:ind w:left="-850" w:right="11052"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D9431B6" wp14:editId="1943E8B0">
              <wp:simplePos x="0" y="0"/>
              <wp:positionH relativeFrom="page">
                <wp:posOffset>540004</wp:posOffset>
              </wp:positionH>
              <wp:positionV relativeFrom="page">
                <wp:posOffset>438277</wp:posOffset>
              </wp:positionV>
              <wp:extent cx="6480049" cy="7201"/>
              <wp:effectExtent l="0" t="0" r="0" b="0"/>
              <wp:wrapSquare wrapText="bothSides"/>
              <wp:docPr id="7511" name="Group 7511"/>
              <wp:cNvGraphicFramePr/>
              <a:graphic xmlns:a="http://schemas.openxmlformats.org/drawingml/2006/main">
                <a:graphicData uri="http://schemas.microsoft.com/office/word/2010/wordprocessingGroup">
                  <wpg:wgp>
                    <wpg:cNvGrpSpPr/>
                    <wpg:grpSpPr>
                      <a:xfrm>
                        <a:off x="0" y="0"/>
                        <a:ext cx="6480049" cy="7201"/>
                        <a:chOff x="0" y="0"/>
                        <a:chExt cx="6480049" cy="7201"/>
                      </a:xfrm>
                    </wpg:grpSpPr>
                    <wps:wsp>
                      <wps:cNvPr id="7512" name="Shape 7512"/>
                      <wps:cNvSpPr/>
                      <wps:spPr>
                        <a:xfrm>
                          <a:off x="0" y="0"/>
                          <a:ext cx="6480049" cy="0"/>
                        </a:xfrm>
                        <a:custGeom>
                          <a:avLst/>
                          <a:gdLst/>
                          <a:ahLst/>
                          <a:cxnLst/>
                          <a:rect l="0" t="0" r="0" b="0"/>
                          <a:pathLst>
                            <a:path w="6480049">
                              <a:moveTo>
                                <a:pt x="0" y="0"/>
                              </a:moveTo>
                              <a:lnTo>
                                <a:pt x="6480049" y="0"/>
                              </a:lnTo>
                            </a:path>
                          </a:pathLst>
                        </a:custGeom>
                        <a:ln w="7201"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511" style="width:510.24pt;height:0.567pt;position:absolute;mso-position-horizontal-relative:page;mso-position-horizontal:absolute;margin-left:42.52pt;mso-position-vertical-relative:page;margin-top:34.51pt;" coordsize="64800,72">
              <v:shape id="Shape 7512" style="position:absolute;width:64800;height:0;left:0;top:0;" coordsize="6480049,0" path="m0,0l6480049,0">
                <v:stroke weight="0.567pt" endcap="flat" joinstyle="miter" miterlimit="10" on="true" color="#888888"/>
                <v:fill on="false" color="#000000" opacity="0"/>
              </v:shape>
              <w10:wrap type="squar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3AA"/>
    <w:rsid w:val="00175204"/>
    <w:rsid w:val="001923AA"/>
    <w:rsid w:val="001C4F24"/>
    <w:rsid w:val="0021682B"/>
    <w:rsid w:val="002871AB"/>
    <w:rsid w:val="00373131"/>
    <w:rsid w:val="003B47B7"/>
    <w:rsid w:val="00402B1B"/>
    <w:rsid w:val="0042621D"/>
    <w:rsid w:val="004D4C12"/>
    <w:rsid w:val="00A56E2C"/>
    <w:rsid w:val="00B67600"/>
    <w:rsid w:val="00C16118"/>
    <w:rsid w:val="00C20928"/>
    <w:rsid w:val="00DF0053"/>
    <w:rsid w:val="00EB04FF"/>
    <w:rsid w:val="00EE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61B0"/>
  <w15:docId w15:val="{1B11C28A-891D-4276-9C46-22B6D9B3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56" w:line="270"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02B1B"/>
    <w:pPr>
      <w:spacing w:after="0" w:line="240" w:lineRule="auto"/>
    </w:pPr>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11867</Characters>
  <Application>Microsoft Office Word</Application>
  <DocSecurity>0</DocSecurity>
  <Lines>197</Lines>
  <Paragraphs>104</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cp:lastModifiedBy>Alexander, Tiffany</cp:lastModifiedBy>
  <cp:revision>2</cp:revision>
  <dcterms:created xsi:type="dcterms:W3CDTF">2026-01-22T16:00:00Z</dcterms:created>
  <dcterms:modified xsi:type="dcterms:W3CDTF">2026-01-22T16:00:00Z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2026-01-05T19:15:37Z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6004ac23-9fa7-46cf-a773-4af01b3d31ed</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